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4645" w:type="dxa"/>
        <w:tblLook w:val="04A0" w:firstRow="1" w:lastRow="0" w:firstColumn="1" w:lastColumn="0" w:noHBand="0" w:noVBand="1"/>
      </w:tblPr>
      <w:tblGrid>
        <w:gridCol w:w="3816"/>
        <w:gridCol w:w="4332"/>
        <w:gridCol w:w="3471"/>
        <w:gridCol w:w="3026"/>
      </w:tblGrid>
      <w:tr w:rsidR="0087542B" w:rsidRPr="000728CD" w14:paraId="0B336388" w14:textId="77777777" w:rsidTr="00260486">
        <w:tc>
          <w:tcPr>
            <w:tcW w:w="3816" w:type="dxa"/>
          </w:tcPr>
          <w:p w14:paraId="004BA470" w14:textId="77777777" w:rsidR="00B733F1" w:rsidRPr="000728CD" w:rsidRDefault="00B733F1" w:rsidP="0026048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32" w:type="dxa"/>
          </w:tcPr>
          <w:p w14:paraId="70EFFD34" w14:textId="77777777" w:rsidR="00B733F1" w:rsidRPr="000728CD" w:rsidRDefault="00B733F1" w:rsidP="0026048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728CD">
              <w:rPr>
                <w:rFonts w:asciiTheme="majorHAnsi" w:hAnsiTheme="majorHAnsi" w:cstheme="majorHAnsi"/>
                <w:b/>
                <w:bCs/>
              </w:rPr>
              <w:t>Bases iniciais de regulamentação e aprovação de probióticos</w:t>
            </w:r>
          </w:p>
        </w:tc>
        <w:tc>
          <w:tcPr>
            <w:tcW w:w="3471" w:type="dxa"/>
          </w:tcPr>
          <w:p w14:paraId="41D1ADA7" w14:textId="5742C150" w:rsidR="00B733F1" w:rsidRPr="000728CD" w:rsidRDefault="00B733F1" w:rsidP="0026048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728CD">
              <w:rPr>
                <w:rFonts w:asciiTheme="majorHAnsi" w:hAnsiTheme="majorHAnsi" w:cstheme="majorHAnsi"/>
                <w:b/>
                <w:bCs/>
              </w:rPr>
              <w:t xml:space="preserve">Abordagem atual </w:t>
            </w:r>
            <w:r w:rsidR="00593955">
              <w:rPr>
                <w:rFonts w:asciiTheme="majorHAnsi" w:hAnsiTheme="majorHAnsi" w:cstheme="majorHAnsi"/>
                <w:b/>
                <w:bCs/>
              </w:rPr>
              <w:t xml:space="preserve">/ comentários </w:t>
            </w:r>
          </w:p>
        </w:tc>
        <w:tc>
          <w:tcPr>
            <w:tcW w:w="3026" w:type="dxa"/>
          </w:tcPr>
          <w:p w14:paraId="23FFA7FA" w14:textId="397F50FE" w:rsidR="00B733F1" w:rsidRPr="000728CD" w:rsidRDefault="003E2648" w:rsidP="00260486">
            <w:pPr>
              <w:jc w:val="both"/>
              <w:rPr>
                <w:rFonts w:asciiTheme="majorHAnsi" w:hAnsiTheme="majorHAnsi" w:cstheme="majorHAnsi"/>
              </w:rPr>
            </w:pPr>
            <w:r w:rsidRPr="003E2648">
              <w:rPr>
                <w:rFonts w:asciiTheme="majorHAnsi" w:hAnsiTheme="majorHAnsi" w:cstheme="majorHAnsi"/>
                <w:b/>
                <w:bCs/>
              </w:rPr>
              <w:t>observaçõe</w:t>
            </w:r>
            <w:r>
              <w:rPr>
                <w:rFonts w:asciiTheme="majorHAnsi" w:hAnsiTheme="majorHAnsi" w:cstheme="majorHAnsi"/>
              </w:rPr>
              <w:t>s</w:t>
            </w:r>
          </w:p>
          <w:p w14:paraId="21DBE02A" w14:textId="77777777" w:rsidR="00B733F1" w:rsidRPr="000728CD" w:rsidRDefault="00B733F1" w:rsidP="00260486">
            <w:pPr>
              <w:jc w:val="both"/>
              <w:rPr>
                <w:rFonts w:asciiTheme="majorHAnsi" w:hAnsiTheme="majorHAnsi" w:cstheme="majorHAnsi"/>
              </w:rPr>
            </w:pPr>
            <w:r w:rsidRPr="000728C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7542B" w:rsidRPr="000728CD" w14:paraId="4DAC12A4" w14:textId="77777777" w:rsidTr="00260486">
        <w:tc>
          <w:tcPr>
            <w:tcW w:w="3816" w:type="dxa"/>
          </w:tcPr>
          <w:p w14:paraId="4D7E1BB1" w14:textId="77777777" w:rsidR="00B733F1" w:rsidRPr="000728CD" w:rsidRDefault="00B733F1" w:rsidP="00260486">
            <w:pPr>
              <w:jc w:val="both"/>
              <w:rPr>
                <w:rFonts w:asciiTheme="majorHAnsi" w:hAnsiTheme="majorHAnsi" w:cstheme="majorHAnsi"/>
              </w:rPr>
            </w:pPr>
            <w:r w:rsidRPr="000728CD">
              <w:rPr>
                <w:rFonts w:asciiTheme="majorHAnsi" w:hAnsiTheme="majorHAnsi" w:cstheme="majorHAnsi"/>
              </w:rPr>
              <w:t>Suplementos alimentares:</w:t>
            </w:r>
          </w:p>
          <w:p w14:paraId="79F9337C" w14:textId="77777777" w:rsidR="00B733F1" w:rsidRPr="000728CD" w:rsidRDefault="00B733F1" w:rsidP="0026048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728CD">
              <w:rPr>
                <w:rFonts w:asciiTheme="majorHAnsi" w:hAnsiTheme="majorHAnsi" w:cstheme="majorHAnsi"/>
                <w:b/>
                <w:bCs/>
              </w:rPr>
              <w:t>Documento de base para discussão regulatória - junho de 2017</w:t>
            </w:r>
          </w:p>
        </w:tc>
        <w:tc>
          <w:tcPr>
            <w:tcW w:w="4332" w:type="dxa"/>
          </w:tcPr>
          <w:p w14:paraId="6839023F" w14:textId="77777777" w:rsidR="00B733F1" w:rsidRPr="000728CD" w:rsidRDefault="00B733F1" w:rsidP="00260486">
            <w:pPr>
              <w:jc w:val="both"/>
              <w:rPr>
                <w:rFonts w:asciiTheme="majorHAnsi" w:hAnsiTheme="majorHAnsi" w:cstheme="majorHAnsi"/>
              </w:rPr>
            </w:pPr>
            <w:r w:rsidRPr="000728CD">
              <w:rPr>
                <w:rFonts w:asciiTheme="majorHAnsi" w:hAnsiTheme="majorHAnsi" w:cstheme="majorHAnsi"/>
              </w:rPr>
              <w:t xml:space="preserve">“necessária uma regulamentação que seja capaz de lidar, de maneira adequada, com as características desse mercado, de forma a </w:t>
            </w:r>
            <w:r w:rsidRPr="000728CD">
              <w:rPr>
                <w:rFonts w:asciiTheme="majorHAnsi" w:hAnsiTheme="majorHAnsi" w:cstheme="majorHAnsi"/>
                <w:b/>
                <w:bCs/>
              </w:rPr>
              <w:t>proteger a saúde da população</w:t>
            </w:r>
            <w:r w:rsidRPr="000728CD">
              <w:rPr>
                <w:rFonts w:asciiTheme="majorHAnsi" w:hAnsiTheme="majorHAnsi" w:cstheme="majorHAnsi"/>
              </w:rPr>
              <w:t xml:space="preserve"> </w:t>
            </w:r>
            <w:r w:rsidRPr="000728CD">
              <w:rPr>
                <w:rFonts w:asciiTheme="majorHAnsi" w:hAnsiTheme="majorHAnsi" w:cstheme="majorHAnsi"/>
                <w:b/>
                <w:bCs/>
              </w:rPr>
              <w:t>sem inibir</w:t>
            </w:r>
            <w:r w:rsidRPr="000728CD">
              <w:rPr>
                <w:rFonts w:asciiTheme="majorHAnsi" w:hAnsiTheme="majorHAnsi" w:cstheme="majorHAnsi"/>
              </w:rPr>
              <w:t xml:space="preserve">, desnecessariamente, o </w:t>
            </w:r>
            <w:r w:rsidRPr="000728CD">
              <w:rPr>
                <w:rFonts w:asciiTheme="majorHAnsi" w:hAnsiTheme="majorHAnsi" w:cstheme="majorHAnsi"/>
                <w:b/>
                <w:bCs/>
              </w:rPr>
              <w:t>desenvolvimento do setor e o acesso a tais produtos</w:t>
            </w:r>
            <w:r w:rsidRPr="000728CD">
              <w:rPr>
                <w:rFonts w:asciiTheme="majorHAnsi" w:hAnsiTheme="majorHAnsi" w:cstheme="majorHAnsi"/>
              </w:rPr>
              <w:t xml:space="preserve">. Para lidar com essa situação foram traçados os seguintes objetivos para a intervenção regulatória. </w:t>
            </w:r>
            <w:r w:rsidRPr="000728C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8A61002" wp14:editId="55C0E542">
                  <wp:extent cx="2446020" cy="143602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784" cy="144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6E1821CC" w14:textId="4534EF92" w:rsidR="00B733F1" w:rsidRPr="000728CD" w:rsidRDefault="000728CD" w:rsidP="00260486">
            <w:pPr>
              <w:jc w:val="both"/>
              <w:rPr>
                <w:rFonts w:asciiTheme="majorHAnsi" w:hAnsiTheme="majorHAnsi" w:cstheme="majorHAnsi"/>
              </w:rPr>
            </w:pPr>
            <w:r w:rsidRPr="000728CD">
              <w:rPr>
                <w:rFonts w:asciiTheme="majorHAnsi" w:hAnsiTheme="majorHAnsi" w:cstheme="majorHAnsi"/>
              </w:rPr>
              <w:t xml:space="preserve">A proteção à saúde do consumidor está vinculada sobretudo à segurança dos produtos, mas muitos desafios estão relacionados à comprovação de eficácia, finalidade de uso e </w:t>
            </w:r>
            <w:proofErr w:type="spellStart"/>
            <w:r w:rsidRPr="000728CD">
              <w:rPr>
                <w:rFonts w:asciiTheme="majorHAnsi" w:hAnsiTheme="majorHAnsi" w:cstheme="majorHAnsi"/>
              </w:rPr>
              <w:t>claims</w:t>
            </w:r>
            <w:proofErr w:type="spellEnd"/>
            <w:r w:rsidRPr="000728CD">
              <w:rPr>
                <w:rFonts w:asciiTheme="majorHAnsi" w:hAnsiTheme="majorHAnsi" w:cstheme="majorHAnsi"/>
              </w:rPr>
              <w:t xml:space="preserve">. Há uma preocupação muito grande quanto ao entendimento e expectativa criada no consumidor em relação aos suplementos. </w:t>
            </w:r>
          </w:p>
        </w:tc>
        <w:tc>
          <w:tcPr>
            <w:tcW w:w="3026" w:type="dxa"/>
          </w:tcPr>
          <w:p w14:paraId="2ED57311" w14:textId="3A2DFBE5" w:rsidR="00B733F1" w:rsidRPr="000728CD" w:rsidRDefault="000728CD" w:rsidP="00260486">
            <w:pPr>
              <w:jc w:val="both"/>
              <w:rPr>
                <w:rFonts w:asciiTheme="majorHAnsi" w:hAnsiTheme="majorHAnsi" w:cstheme="majorHAnsi"/>
              </w:rPr>
            </w:pPr>
            <w:r w:rsidRPr="000728CD">
              <w:rPr>
                <w:rFonts w:asciiTheme="majorHAnsi" w:hAnsiTheme="majorHAnsi" w:cstheme="majorHAnsi"/>
              </w:rPr>
              <w:t xml:space="preserve">No caso específico de substância bioativas, temos casos em que a descrição do papel fisiológico é replicada no parecer de deferimento dessas substâncias, mas não pode ser inserido no rótulo. Embora a legislação defina alegação de propriedade funcional como aquela que sugira ou implique que o nutriente ou não nutriente tem um papel fisiológico ou metabólico no organismo, é comum a ANVISA exigir para além da simples demonstração do papel fisiológico a comprovação de um benefício vinculado.  </w:t>
            </w:r>
          </w:p>
        </w:tc>
      </w:tr>
      <w:tr w:rsidR="003D4D41" w:rsidRPr="000728CD" w14:paraId="7CC27744" w14:textId="77777777" w:rsidTr="00260486">
        <w:tc>
          <w:tcPr>
            <w:tcW w:w="3816" w:type="dxa"/>
          </w:tcPr>
          <w:p w14:paraId="5D53F1A5" w14:textId="77777777" w:rsidR="00B733F1" w:rsidRPr="000728CD" w:rsidRDefault="00B733F1" w:rsidP="00B733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32" w:type="dxa"/>
          </w:tcPr>
          <w:p w14:paraId="786A3F7F" w14:textId="77777777" w:rsidR="00B733F1" w:rsidRPr="000728CD" w:rsidRDefault="00B733F1" w:rsidP="00260486">
            <w:pPr>
              <w:jc w:val="both"/>
              <w:rPr>
                <w:rFonts w:asciiTheme="majorHAnsi" w:hAnsiTheme="majorHAnsi" w:cstheme="majorHAnsi"/>
              </w:rPr>
            </w:pPr>
            <w:r w:rsidRPr="000728CD">
              <w:rPr>
                <w:rFonts w:asciiTheme="majorHAnsi" w:hAnsiTheme="majorHAnsi" w:cstheme="majorHAnsi"/>
              </w:rPr>
              <w:t xml:space="preserve">Probióticos: microrganismos vivos, que quando administrados em quantidades adequadas, </w:t>
            </w:r>
            <w:r w:rsidRPr="000728CD">
              <w:rPr>
                <w:rFonts w:asciiTheme="majorHAnsi" w:hAnsiTheme="majorHAnsi" w:cstheme="majorHAnsi"/>
                <w:highlight w:val="yellow"/>
              </w:rPr>
              <w:t>podem</w:t>
            </w:r>
            <w:r w:rsidRPr="000728CD">
              <w:rPr>
                <w:rFonts w:asciiTheme="majorHAnsi" w:hAnsiTheme="majorHAnsi" w:cstheme="majorHAnsi"/>
              </w:rPr>
              <w:t xml:space="preserve"> conferir um benefício de saúde.</w:t>
            </w:r>
          </w:p>
          <w:p w14:paraId="1F12F54F" w14:textId="77777777" w:rsidR="00B733F1" w:rsidRPr="000728CD" w:rsidRDefault="00B733F1" w:rsidP="00260486">
            <w:pPr>
              <w:jc w:val="both"/>
              <w:rPr>
                <w:rFonts w:asciiTheme="majorHAnsi" w:hAnsiTheme="majorHAnsi" w:cstheme="majorHAnsi"/>
              </w:rPr>
            </w:pPr>
            <w:r w:rsidRPr="000728CD">
              <w:rPr>
                <w:rFonts w:asciiTheme="majorHAnsi" w:hAnsiTheme="majorHAnsi" w:cstheme="majorHAnsi"/>
              </w:rPr>
              <w:t>Probióticos “a abordagem proposta para tratamento desses componentes visa favorecer o acesso e ao mesmo tempo coibir práticas enganosas, estabelecendo-se como patamar inicial a comprovação da segurança de uso e a demonstração do potencial efeito benéfico.”</w:t>
            </w:r>
          </w:p>
        </w:tc>
        <w:tc>
          <w:tcPr>
            <w:tcW w:w="3471" w:type="dxa"/>
          </w:tcPr>
          <w:p w14:paraId="35598914" w14:textId="586F39C1" w:rsidR="00B733F1" w:rsidRPr="000728CD" w:rsidRDefault="000728CD" w:rsidP="00593955">
            <w:pPr>
              <w:jc w:val="both"/>
              <w:rPr>
                <w:rFonts w:asciiTheme="majorHAnsi" w:hAnsiTheme="majorHAnsi" w:cstheme="majorHAnsi"/>
              </w:rPr>
            </w:pPr>
            <w:r w:rsidRPr="000728CD">
              <w:rPr>
                <w:rFonts w:asciiTheme="majorHAnsi" w:hAnsiTheme="majorHAnsi" w:cstheme="majorHAnsi"/>
              </w:rPr>
              <w:t xml:space="preserve">A abordagem do documento de 2017 não foi a frente. Nos documentos que sucederam às discussões houve adoção de critérios mais rígidos com necessidade de comprovação de um real benefício. </w:t>
            </w:r>
          </w:p>
        </w:tc>
        <w:tc>
          <w:tcPr>
            <w:tcW w:w="3026" w:type="dxa"/>
          </w:tcPr>
          <w:p w14:paraId="46EC92A4" w14:textId="77777777" w:rsidR="00B733F1" w:rsidRPr="000728CD" w:rsidRDefault="00B733F1">
            <w:pPr>
              <w:rPr>
                <w:rFonts w:asciiTheme="majorHAnsi" w:hAnsiTheme="majorHAnsi" w:cstheme="majorHAnsi"/>
              </w:rPr>
            </w:pPr>
          </w:p>
        </w:tc>
      </w:tr>
      <w:tr w:rsidR="003D4D41" w:rsidRPr="000728CD" w14:paraId="7204913F" w14:textId="77777777" w:rsidTr="00260486">
        <w:tc>
          <w:tcPr>
            <w:tcW w:w="3816" w:type="dxa"/>
          </w:tcPr>
          <w:p w14:paraId="4B6655CD" w14:textId="60C3ECF9" w:rsidR="00B733F1" w:rsidRPr="000728CD" w:rsidRDefault="00E637C8" w:rsidP="00B733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PROBIÓTICOS</w:t>
            </w:r>
          </w:p>
        </w:tc>
        <w:tc>
          <w:tcPr>
            <w:tcW w:w="4332" w:type="dxa"/>
          </w:tcPr>
          <w:p w14:paraId="2FF67B1B" w14:textId="71F0E9F4" w:rsidR="00B733F1" w:rsidRPr="000728CD" w:rsidRDefault="00B733F1" w:rsidP="00B733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71" w:type="dxa"/>
          </w:tcPr>
          <w:p w14:paraId="1DDD8849" w14:textId="77777777" w:rsidR="00B733F1" w:rsidRPr="000728CD" w:rsidRDefault="00B733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6" w:type="dxa"/>
          </w:tcPr>
          <w:p w14:paraId="56C22B50" w14:textId="77777777" w:rsidR="00B733F1" w:rsidRPr="000728CD" w:rsidRDefault="00B733F1">
            <w:pPr>
              <w:rPr>
                <w:rFonts w:asciiTheme="majorHAnsi" w:hAnsiTheme="majorHAnsi" w:cstheme="majorHAnsi"/>
              </w:rPr>
            </w:pPr>
          </w:p>
        </w:tc>
      </w:tr>
      <w:tr w:rsidR="0087542B" w:rsidRPr="000728CD" w14:paraId="142B3711" w14:textId="77777777" w:rsidTr="00260486">
        <w:trPr>
          <w:trHeight w:val="2344"/>
        </w:trPr>
        <w:tc>
          <w:tcPr>
            <w:tcW w:w="3816" w:type="dxa"/>
          </w:tcPr>
          <w:p w14:paraId="34452163" w14:textId="77777777" w:rsidR="0087542B" w:rsidRPr="000728CD" w:rsidRDefault="0087542B" w:rsidP="00260486">
            <w:pPr>
              <w:jc w:val="both"/>
              <w:rPr>
                <w:rFonts w:asciiTheme="majorHAnsi" w:hAnsiTheme="majorHAnsi" w:cstheme="majorHAnsi"/>
              </w:rPr>
            </w:pPr>
            <w:r w:rsidRPr="000728C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95A55DC" wp14:editId="699C88CD">
                  <wp:extent cx="2286000" cy="143012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860" cy="1436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14:paraId="2A86FC38" w14:textId="51A37F88" w:rsidR="00260486" w:rsidRDefault="00E637C8" w:rsidP="0026048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260486">
              <w:rPr>
                <w:rFonts w:asciiTheme="majorHAnsi" w:hAnsiTheme="majorHAnsi" w:cstheme="majorHAnsi"/>
                <w:i/>
                <w:iCs/>
              </w:rPr>
              <w:t xml:space="preserve">Trecho da ata: </w:t>
            </w:r>
            <w:r w:rsidR="00FE636B" w:rsidRPr="00260486">
              <w:rPr>
                <w:rFonts w:asciiTheme="majorHAnsi" w:hAnsiTheme="majorHAnsi" w:cstheme="majorHAnsi"/>
                <w:i/>
                <w:iCs/>
              </w:rPr>
              <w:t>Ela</w:t>
            </w:r>
            <w:r w:rsidR="00260486">
              <w:rPr>
                <w:rFonts w:asciiTheme="majorHAnsi" w:hAnsiTheme="majorHAnsi" w:cstheme="majorHAnsi"/>
                <w:i/>
                <w:iCs/>
              </w:rPr>
              <w:t>*</w:t>
            </w:r>
            <w:r w:rsidR="00260486" w:rsidRPr="0026048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FE636B" w:rsidRPr="00260486">
              <w:rPr>
                <w:rFonts w:asciiTheme="majorHAnsi" w:hAnsiTheme="majorHAnsi" w:cstheme="majorHAnsi"/>
                <w:i/>
                <w:iCs/>
              </w:rPr>
              <w:t>explicou que, no início da parceria com a Anvisa, houve um alinhamento para entender a diferença de abordagem que deveria ser dada e as convergências entre esses dois</w:t>
            </w:r>
            <w:r w:rsidRPr="0026048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FE636B" w:rsidRPr="00260486">
              <w:rPr>
                <w:rFonts w:asciiTheme="majorHAnsi" w:hAnsiTheme="majorHAnsi" w:cstheme="majorHAnsi"/>
                <w:i/>
                <w:iCs/>
              </w:rPr>
              <w:t xml:space="preserve">processos (fundamentação científica e </w:t>
            </w:r>
            <w:r w:rsidR="00FE636B" w:rsidRPr="00260486">
              <w:rPr>
                <w:rFonts w:asciiTheme="majorHAnsi" w:hAnsiTheme="majorHAnsi" w:cstheme="majorHAnsi"/>
                <w:b/>
                <w:bCs/>
                <w:i/>
                <w:iCs/>
              </w:rPr>
              <w:t>definição de critérios mais objetivos para a conclusão</w:t>
            </w:r>
            <w:r w:rsidR="00FE636B" w:rsidRPr="00260486">
              <w:rPr>
                <w:rFonts w:asciiTheme="majorHAnsi" w:hAnsiTheme="majorHAnsi" w:cstheme="majorHAnsi"/>
                <w:i/>
                <w:iCs/>
              </w:rPr>
              <w:t>).</w:t>
            </w:r>
            <w:r w:rsidR="00260486" w:rsidRPr="0026048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FE636B" w:rsidRPr="00260486">
              <w:rPr>
                <w:rFonts w:asciiTheme="majorHAnsi" w:hAnsiTheme="majorHAnsi" w:cstheme="majorHAnsi"/>
                <w:i/>
                <w:iCs/>
              </w:rPr>
              <w:t>Foi reforçado, por fim, a importância</w:t>
            </w:r>
            <w:r w:rsidR="00260486" w:rsidRPr="0026048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FE636B" w:rsidRPr="00260486">
              <w:rPr>
                <w:rFonts w:asciiTheme="majorHAnsi" w:hAnsiTheme="majorHAnsi" w:cstheme="majorHAnsi"/>
                <w:i/>
                <w:iCs/>
              </w:rPr>
              <w:t xml:space="preserve">desse </w:t>
            </w:r>
            <w:r w:rsidR="00FE636B" w:rsidRPr="00260486">
              <w:rPr>
                <w:rFonts w:asciiTheme="majorHAnsi" w:hAnsiTheme="majorHAnsi" w:cstheme="majorHAnsi"/>
                <w:b/>
                <w:bCs/>
                <w:i/>
                <w:iCs/>
              </w:rPr>
              <w:t>processo de adaptação de forma a obter um instrumento mais simples e adequado ao seu propósito, sem perder de vista o fundamento científico</w:t>
            </w:r>
            <w:r w:rsidR="00FE636B" w:rsidRPr="00260486">
              <w:rPr>
                <w:rFonts w:asciiTheme="majorHAnsi" w:hAnsiTheme="majorHAnsi" w:cstheme="majorHAnsi"/>
                <w:i/>
                <w:iCs/>
              </w:rPr>
              <w:t>.</w:t>
            </w:r>
          </w:p>
          <w:p w14:paraId="29211D95" w14:textId="77777777" w:rsidR="00260486" w:rsidRDefault="00260486" w:rsidP="0026048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  <w:p w14:paraId="392E74EA" w14:textId="57DC61EC" w:rsidR="00FE636B" w:rsidRPr="00260486" w:rsidRDefault="00260486" w:rsidP="0026048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noProof/>
              </w:rPr>
            </w:pPr>
            <w:r w:rsidRPr="0026048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</w:rPr>
              <w:t>*</w:t>
            </w:r>
            <w:r w:rsidRPr="00260486">
              <w:rPr>
                <w:rFonts w:asciiTheme="majorHAnsi" w:hAnsiTheme="majorHAnsi" w:cstheme="majorHAnsi"/>
              </w:rPr>
              <w:t>Representante da Fiocruz</w:t>
            </w:r>
          </w:p>
        </w:tc>
        <w:tc>
          <w:tcPr>
            <w:tcW w:w="3471" w:type="dxa"/>
          </w:tcPr>
          <w:p w14:paraId="46480B8D" w14:textId="1AB4C411" w:rsidR="0087542B" w:rsidRPr="000728CD" w:rsidRDefault="00E637C8" w:rsidP="0026048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 definição dos critérios objetivos para conclusão foi muito positiva, para evitarmos a subjetividade nas análises, mas atualmente mesmo com estudos qualificados com desfechos claros os técnicos podem julgá-los fracos a partir de novos domínios de força de evidência trazidos na versão 2 do Guia de probióticos.  Além disso, inicialmente tinha-se clara a fundamentação científica era importante, mas deveria ser adequada ao propósito do novo marco de suplementos. </w:t>
            </w:r>
          </w:p>
        </w:tc>
        <w:tc>
          <w:tcPr>
            <w:tcW w:w="3026" w:type="dxa"/>
          </w:tcPr>
          <w:p w14:paraId="54EFF231" w14:textId="77777777" w:rsidR="0087542B" w:rsidRPr="000728CD" w:rsidRDefault="0087542B" w:rsidP="0026048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D4D41" w:rsidRPr="000728CD" w14:paraId="34810DA9" w14:textId="77777777" w:rsidTr="00260486">
        <w:trPr>
          <w:trHeight w:val="2344"/>
        </w:trPr>
        <w:tc>
          <w:tcPr>
            <w:tcW w:w="3816" w:type="dxa"/>
          </w:tcPr>
          <w:p w14:paraId="58EC44EA" w14:textId="77777777" w:rsidR="003D4D41" w:rsidRPr="000728CD" w:rsidRDefault="003D4D41" w:rsidP="003D4D41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332" w:type="dxa"/>
          </w:tcPr>
          <w:p w14:paraId="36A9B627" w14:textId="77777777" w:rsidR="00593955" w:rsidRDefault="00E637C8" w:rsidP="0026048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260486">
              <w:rPr>
                <w:rFonts w:asciiTheme="majorHAnsi" w:hAnsiTheme="majorHAnsi" w:cstheme="majorHAnsi"/>
                <w:i/>
                <w:iCs/>
              </w:rPr>
              <w:t>O</w:t>
            </w:r>
            <w:r w:rsidR="003D4D41" w:rsidRPr="00260486">
              <w:rPr>
                <w:rFonts w:asciiTheme="majorHAnsi" w:hAnsiTheme="majorHAnsi" w:cstheme="majorHAnsi"/>
                <w:i/>
                <w:iCs/>
              </w:rPr>
              <w:t xml:space="preserve"> Guia apresenta uma abordagem que permite</w:t>
            </w:r>
            <w:r w:rsidRPr="0026048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3D4D41" w:rsidRPr="00260486">
              <w:rPr>
                <w:rFonts w:asciiTheme="majorHAnsi" w:hAnsiTheme="majorHAnsi" w:cstheme="majorHAnsi"/>
                <w:i/>
                <w:iCs/>
              </w:rPr>
              <w:t>agregar em um mesmo dossiê estudos com desfechos distintos, desde que relacionados a</w:t>
            </w:r>
            <w:r w:rsidRPr="0026048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3D4D41" w:rsidRPr="00260486">
              <w:rPr>
                <w:rFonts w:asciiTheme="majorHAnsi" w:hAnsiTheme="majorHAnsi" w:cstheme="majorHAnsi"/>
                <w:i/>
                <w:iCs/>
              </w:rPr>
              <w:t xml:space="preserve">uma </w:t>
            </w:r>
            <w:r w:rsidR="003D4D41" w:rsidRPr="00260486">
              <w:rPr>
                <w:rFonts w:asciiTheme="majorHAnsi" w:hAnsiTheme="majorHAnsi" w:cstheme="majorHAnsi"/>
                <w:b/>
                <w:bCs/>
                <w:i/>
                <w:iCs/>
              </w:rPr>
              <w:t>função geral do probiótico</w:t>
            </w:r>
            <w:r w:rsidR="003D4D41" w:rsidRPr="00260486">
              <w:rPr>
                <w:rFonts w:asciiTheme="majorHAnsi" w:hAnsiTheme="majorHAnsi" w:cstheme="majorHAnsi"/>
                <w:i/>
                <w:iCs/>
              </w:rPr>
              <w:t xml:space="preserve"> em algum sistema do organismo (</w:t>
            </w:r>
            <w:r w:rsidR="00260486" w:rsidRPr="00260486">
              <w:rPr>
                <w:rFonts w:asciiTheme="majorHAnsi" w:hAnsiTheme="majorHAnsi" w:cstheme="majorHAnsi"/>
                <w:i/>
                <w:iCs/>
              </w:rPr>
              <w:t>como gastrointestinal</w:t>
            </w:r>
            <w:r w:rsidR="003D4D41" w:rsidRPr="0026048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3D4D41" w:rsidRPr="00260486">
              <w:rPr>
                <w:rFonts w:asciiTheme="majorHAnsi" w:hAnsiTheme="majorHAnsi" w:cstheme="majorHAnsi"/>
                <w:b/>
                <w:bCs/>
                <w:i/>
                <w:iCs/>
              </w:rPr>
              <w:t>ou</w:t>
            </w:r>
            <w:r w:rsidRPr="0026048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</w:t>
            </w:r>
            <w:r w:rsidR="003D4D41" w:rsidRPr="00260486">
              <w:rPr>
                <w:rFonts w:asciiTheme="majorHAnsi" w:hAnsiTheme="majorHAnsi" w:cstheme="majorHAnsi"/>
                <w:b/>
                <w:bCs/>
                <w:i/>
                <w:iCs/>
              </w:rPr>
              <w:t>imunológico</w:t>
            </w:r>
            <w:r w:rsidR="003D4D41" w:rsidRPr="00260486">
              <w:rPr>
                <w:rFonts w:asciiTheme="majorHAnsi" w:hAnsiTheme="majorHAnsi" w:cstheme="majorHAnsi"/>
                <w:i/>
                <w:iCs/>
              </w:rPr>
              <w:t xml:space="preserve">). Ao permitir essa soma de evidências, abre-se </w:t>
            </w:r>
            <w:r w:rsidR="00260486" w:rsidRPr="00260486">
              <w:rPr>
                <w:rFonts w:asciiTheme="majorHAnsi" w:hAnsiTheme="majorHAnsi" w:cstheme="majorHAnsi"/>
                <w:i/>
                <w:iCs/>
              </w:rPr>
              <w:t>a possibilidade</w:t>
            </w:r>
            <w:r w:rsidR="003D4D41" w:rsidRPr="00260486">
              <w:rPr>
                <w:rFonts w:asciiTheme="majorHAnsi" w:hAnsiTheme="majorHAnsi" w:cstheme="majorHAnsi"/>
                <w:i/>
                <w:iCs/>
              </w:rPr>
              <w:t xml:space="preserve"> de reunir</w:t>
            </w:r>
            <w:r w:rsidRPr="0026048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3D4D41" w:rsidRPr="00260486">
              <w:rPr>
                <w:rFonts w:asciiTheme="majorHAnsi" w:hAnsiTheme="majorHAnsi" w:cstheme="majorHAnsi"/>
                <w:i/>
                <w:iCs/>
              </w:rPr>
              <w:t>estudos de qualidade que tenham resultados consistentes ou com força de associação</w:t>
            </w:r>
            <w:r w:rsidRPr="0026048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3D4D41" w:rsidRPr="00260486">
              <w:rPr>
                <w:rFonts w:asciiTheme="majorHAnsi" w:hAnsiTheme="majorHAnsi" w:cstheme="majorHAnsi"/>
                <w:i/>
                <w:iCs/>
              </w:rPr>
              <w:t>suficiente para sustentar um efeito benéfico geral.</w:t>
            </w:r>
          </w:p>
          <w:p w14:paraId="3C02E81F" w14:textId="6BF7B377" w:rsidR="003D4D41" w:rsidRPr="00260486" w:rsidRDefault="00593955" w:rsidP="0026048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F0469F">
              <w:rPr>
                <w:rFonts w:asciiTheme="majorHAnsi" w:hAnsiTheme="majorHAnsi" w:cstheme="majorHAnsi"/>
              </w:rPr>
              <w:t xml:space="preserve">Em outro trecho </w:t>
            </w:r>
            <w:r w:rsidR="003B2559">
              <w:rPr>
                <w:rFonts w:asciiTheme="majorHAnsi" w:hAnsiTheme="majorHAnsi" w:cstheme="majorHAnsi"/>
              </w:rPr>
              <w:t>da ata</w:t>
            </w:r>
            <w:r w:rsidRPr="00F0469F">
              <w:rPr>
                <w:rFonts w:asciiTheme="majorHAnsi" w:hAnsiTheme="majorHAnsi" w:cstheme="majorHAnsi"/>
              </w:rPr>
              <w:t>:</w:t>
            </w:r>
            <w:r w:rsidRPr="00F0469F">
              <w:rPr>
                <w:rFonts w:asciiTheme="majorHAnsi" w:hAnsiTheme="majorHAnsi" w:cstheme="majorHAnsi"/>
                <w:i/>
                <w:iCs/>
              </w:rPr>
              <w:t xml:space="preserve"> “Representantes do setor questionaram a exclusão, nesta nova versão do Guia, daqueles desfechos que seriam considerados aplicáveis para a sustentação de uma alegação geral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F0469F">
              <w:rPr>
                <w:rFonts w:asciiTheme="majorHAnsi" w:hAnsiTheme="majorHAnsi" w:cstheme="majorHAnsi"/>
                <w:i/>
                <w:iCs/>
              </w:rPr>
              <w:t xml:space="preserve">de saúde gastrointestinal. </w:t>
            </w:r>
            <w:r w:rsidRPr="00F0469F">
              <w:rPr>
                <w:rFonts w:asciiTheme="majorHAnsi" w:hAnsiTheme="majorHAnsi" w:cstheme="majorHAnsi"/>
                <w:i/>
                <w:iCs/>
              </w:rPr>
              <w:lastRenderedPageBreak/>
              <w:t xml:space="preserve">Em resposta, a GGALI explicou que sua exclusão se deveu simplesmente à mudança de entendimento </w:t>
            </w:r>
            <w:r w:rsidRPr="00F0469F">
              <w:rPr>
                <w:rFonts w:asciiTheme="majorHAnsi" w:hAnsiTheme="majorHAnsi" w:cstheme="majorHAnsi"/>
                <w:b/>
                <w:bCs/>
                <w:i/>
                <w:iCs/>
              </w:rPr>
              <w:t>sobre a aplicação de uma alegação geral, que não estaria mais restrita à saúde gastrointestinal</w:t>
            </w:r>
            <w:r w:rsidRPr="00F0469F">
              <w:rPr>
                <w:rFonts w:asciiTheme="majorHAnsi" w:hAnsiTheme="majorHAnsi" w:cstheme="majorHAnsi"/>
                <w:i/>
                <w:iCs/>
              </w:rPr>
              <w:t>.</w:t>
            </w:r>
          </w:p>
        </w:tc>
        <w:tc>
          <w:tcPr>
            <w:tcW w:w="3471" w:type="dxa"/>
          </w:tcPr>
          <w:p w14:paraId="11E3A4A4" w14:textId="39BA9774" w:rsidR="003D4D41" w:rsidRPr="00F0469F" w:rsidRDefault="00260486" w:rsidP="003D4D41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F0469F">
              <w:rPr>
                <w:rFonts w:asciiTheme="majorHAnsi" w:hAnsiTheme="majorHAnsi" w:cstheme="majorHAnsi"/>
              </w:rPr>
              <w:lastRenderedPageBreak/>
              <w:t xml:space="preserve">A versão 2 do GUIA não reflete a possibilidade, inicialmente discutida com o setor sobre alegação geral, em relação ao sistema imune com a justificativa de que seriam “enganosas” ao consumidor:  item </w:t>
            </w:r>
            <w:r w:rsidR="003D4D41" w:rsidRPr="00F0469F">
              <w:rPr>
                <w:rFonts w:asciiTheme="majorHAnsi" w:hAnsiTheme="majorHAnsi" w:cstheme="majorHAnsi"/>
                <w:i/>
                <w:iCs/>
                <w:color w:val="002060"/>
              </w:rPr>
              <w:t xml:space="preserve">“6.1. </w:t>
            </w:r>
          </w:p>
          <w:p w14:paraId="652FD62E" w14:textId="4191E2FE" w:rsidR="003D4D41" w:rsidRPr="00F0469F" w:rsidRDefault="003D4D41" w:rsidP="003D4D41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  <w:color w:val="002060"/>
              </w:rPr>
            </w:pPr>
            <w:r w:rsidRPr="00F0469F">
              <w:rPr>
                <w:rFonts w:asciiTheme="majorHAnsi" w:hAnsiTheme="majorHAnsi" w:cstheme="majorHAnsi"/>
                <w:i/>
                <w:iCs/>
                <w:color w:val="002060"/>
              </w:rPr>
              <w:t xml:space="preserve">(...)Assim, ressaltamos que as alegações gerais de probióticos são atribuídas mais facilmente à saúde do trato gastrointestinal, local no </w:t>
            </w:r>
            <w:r w:rsidRPr="00F0469F">
              <w:rPr>
                <w:rFonts w:asciiTheme="majorHAnsi" w:hAnsiTheme="majorHAnsi" w:cstheme="majorHAnsi"/>
                <w:i/>
                <w:iCs/>
                <w:color w:val="002060"/>
              </w:rPr>
              <w:lastRenderedPageBreak/>
              <w:t>qual essas linhagens agem diretamente. Alegações gerais para outros sistemas do organismo geralmente não comunicam adequadamente o benefício pretendido, sendo enganosas ao consumidor por permitir múltiplas interpretações (por exemplo: “benéficas à saúde” ou “favorecem a saúde imunológica”)</w:t>
            </w:r>
          </w:p>
          <w:p w14:paraId="568FBF4F" w14:textId="2D7E88CB" w:rsidR="003D4D41" w:rsidRPr="00F0469F" w:rsidRDefault="003D4D41" w:rsidP="003D4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6" w:type="dxa"/>
          </w:tcPr>
          <w:p w14:paraId="63AB0F91" w14:textId="77777777" w:rsidR="003D4D41" w:rsidRPr="000728CD" w:rsidRDefault="003D4D41" w:rsidP="003D4D41">
            <w:pPr>
              <w:rPr>
                <w:rFonts w:asciiTheme="majorHAnsi" w:hAnsiTheme="majorHAnsi" w:cstheme="majorHAnsi"/>
              </w:rPr>
            </w:pPr>
          </w:p>
        </w:tc>
      </w:tr>
      <w:tr w:rsidR="0014257B" w:rsidRPr="000728CD" w14:paraId="1FFBEF28" w14:textId="77777777" w:rsidTr="00260486">
        <w:trPr>
          <w:trHeight w:val="2344"/>
        </w:trPr>
        <w:tc>
          <w:tcPr>
            <w:tcW w:w="3816" w:type="dxa"/>
          </w:tcPr>
          <w:p w14:paraId="40870E5A" w14:textId="77777777" w:rsidR="0014257B" w:rsidRPr="000728CD" w:rsidRDefault="0014257B" w:rsidP="0014257B">
            <w:pPr>
              <w:rPr>
                <w:rFonts w:asciiTheme="majorHAnsi" w:hAnsiTheme="majorHAnsi" w:cstheme="majorHAnsi"/>
                <w:noProof/>
              </w:rPr>
            </w:pPr>
            <w:bookmarkStart w:id="0" w:name="_Hlk74665106"/>
          </w:p>
        </w:tc>
        <w:tc>
          <w:tcPr>
            <w:tcW w:w="4332" w:type="dxa"/>
          </w:tcPr>
          <w:p w14:paraId="183E6B57" w14:textId="05283CD9" w:rsidR="0014257B" w:rsidRPr="003E2648" w:rsidRDefault="0014257B" w:rsidP="00F046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3E2648">
              <w:rPr>
                <w:rFonts w:asciiTheme="majorHAnsi" w:hAnsiTheme="majorHAnsi" w:cstheme="majorHAnsi"/>
                <w:i/>
                <w:iCs/>
              </w:rPr>
              <w:t xml:space="preserve">Ao final da discussão sobre a </w:t>
            </w:r>
            <w:r w:rsidR="00051A3C" w:rsidRPr="003E2648">
              <w:rPr>
                <w:rFonts w:asciiTheme="majorHAnsi" w:hAnsiTheme="majorHAnsi" w:cstheme="majorHAnsi"/>
                <w:i/>
                <w:iCs/>
              </w:rPr>
              <w:t>C</w:t>
            </w:r>
            <w:r w:rsidRPr="003E2648">
              <w:rPr>
                <w:rFonts w:asciiTheme="majorHAnsi" w:hAnsiTheme="majorHAnsi" w:cstheme="majorHAnsi"/>
                <w:i/>
                <w:iCs/>
              </w:rPr>
              <w:t>omprovação da eficácia, lembrou-se que, para alegações</w:t>
            </w:r>
          </w:p>
          <w:p w14:paraId="40565F08" w14:textId="513AF7DA" w:rsidR="0014257B" w:rsidRPr="003E2648" w:rsidRDefault="0014257B" w:rsidP="00F046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3E2648">
              <w:rPr>
                <w:rFonts w:asciiTheme="majorHAnsi" w:hAnsiTheme="majorHAnsi" w:cstheme="majorHAnsi"/>
                <w:i/>
                <w:iCs/>
              </w:rPr>
              <w:t>gerais, maior ênfase será dada ao domínio que trata da consistência (direção) da</w:t>
            </w:r>
            <w:r w:rsidR="00F0469F" w:rsidRPr="003E2648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3E2648">
              <w:rPr>
                <w:rFonts w:asciiTheme="majorHAnsi" w:hAnsiTheme="majorHAnsi" w:cstheme="majorHAnsi"/>
                <w:i/>
                <w:iCs/>
              </w:rPr>
              <w:t xml:space="preserve">evidência. No que tange às alegações específicas, será </w:t>
            </w:r>
            <w:r w:rsidR="00F0469F" w:rsidRPr="003E2648">
              <w:rPr>
                <w:rFonts w:asciiTheme="majorHAnsi" w:hAnsiTheme="majorHAnsi" w:cstheme="majorHAnsi"/>
                <w:i/>
                <w:iCs/>
              </w:rPr>
              <w:t>considerado</w:t>
            </w:r>
            <w:r w:rsidRPr="003E2648">
              <w:rPr>
                <w:rFonts w:asciiTheme="majorHAnsi" w:hAnsiTheme="majorHAnsi" w:cstheme="majorHAnsi"/>
                <w:i/>
                <w:iCs/>
              </w:rPr>
              <w:t xml:space="preserve"> também o domínio</w:t>
            </w:r>
            <w:r w:rsidR="00F0469F" w:rsidRPr="003E2648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3E2648">
              <w:rPr>
                <w:rFonts w:asciiTheme="majorHAnsi" w:hAnsiTheme="majorHAnsi" w:cstheme="majorHAnsi"/>
                <w:i/>
                <w:iCs/>
              </w:rPr>
              <w:t>que avalia a força da associação.</w:t>
            </w:r>
          </w:p>
        </w:tc>
        <w:tc>
          <w:tcPr>
            <w:tcW w:w="3471" w:type="dxa"/>
          </w:tcPr>
          <w:p w14:paraId="4C8893A4" w14:textId="19246E6A" w:rsidR="0014257B" w:rsidRPr="003E2648" w:rsidRDefault="00593955" w:rsidP="00593955">
            <w:pPr>
              <w:jc w:val="both"/>
              <w:rPr>
                <w:rFonts w:asciiTheme="majorHAnsi" w:hAnsiTheme="majorHAnsi" w:cstheme="majorHAnsi"/>
              </w:rPr>
            </w:pPr>
            <w:r w:rsidRPr="003E2648">
              <w:rPr>
                <w:rFonts w:asciiTheme="majorHAnsi" w:hAnsiTheme="majorHAnsi" w:cstheme="majorHAnsi"/>
              </w:rPr>
              <w:t>O guia versão 2 traz muitos outros domínios a serem considerados na avaliação da força da evidência sem deixar claro em que situações e como eles serão aplicados (temos uma subjetividade). Entre eles temos? Magnitude do efeito, relação dose- reposta, especificidade etc.</w:t>
            </w:r>
          </w:p>
        </w:tc>
        <w:tc>
          <w:tcPr>
            <w:tcW w:w="3026" w:type="dxa"/>
          </w:tcPr>
          <w:p w14:paraId="2E94DD56" w14:textId="77777777" w:rsidR="0014257B" w:rsidRPr="000728CD" w:rsidRDefault="0014257B" w:rsidP="0014257B">
            <w:pPr>
              <w:rPr>
                <w:rFonts w:asciiTheme="majorHAnsi" w:hAnsiTheme="majorHAnsi" w:cstheme="majorHAnsi"/>
              </w:rPr>
            </w:pPr>
          </w:p>
        </w:tc>
      </w:tr>
      <w:bookmarkEnd w:id="0"/>
      <w:tr w:rsidR="0014257B" w:rsidRPr="000728CD" w14:paraId="00FCC580" w14:textId="77777777" w:rsidTr="00260486">
        <w:trPr>
          <w:trHeight w:val="2344"/>
        </w:trPr>
        <w:tc>
          <w:tcPr>
            <w:tcW w:w="3816" w:type="dxa"/>
          </w:tcPr>
          <w:p w14:paraId="1F128CE0" w14:textId="77777777" w:rsidR="0014257B" w:rsidRPr="000728CD" w:rsidRDefault="0014257B" w:rsidP="0014257B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332" w:type="dxa"/>
          </w:tcPr>
          <w:p w14:paraId="567C0108" w14:textId="5784CB7F" w:rsidR="0014257B" w:rsidRPr="00F0469F" w:rsidRDefault="0014257B" w:rsidP="00F046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</w:rPr>
            </w:pPr>
            <w:bookmarkStart w:id="1" w:name="_Hlk74665183"/>
            <w:r w:rsidRPr="00F0469F">
              <w:rPr>
                <w:rFonts w:asciiTheme="majorHAnsi" w:hAnsiTheme="majorHAnsi" w:cstheme="majorHAnsi"/>
                <w:i/>
                <w:iCs/>
              </w:rPr>
              <w:t>E a alegação pleiteada, incluindo seu grau de especificidade e</w:t>
            </w:r>
            <w:r w:rsidR="00F0469F" w:rsidRPr="00F0469F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F0469F">
              <w:rPr>
                <w:rFonts w:asciiTheme="majorHAnsi" w:hAnsiTheme="majorHAnsi" w:cstheme="majorHAnsi"/>
                <w:i/>
                <w:iCs/>
              </w:rPr>
              <w:t>assertividade, deve refletir a qualidade do conjunto de evidências incluídas ao dossiê. A</w:t>
            </w:r>
            <w:r w:rsidR="00F0469F" w:rsidRPr="00F0469F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F0469F">
              <w:rPr>
                <w:rFonts w:asciiTheme="majorHAnsi" w:hAnsiTheme="majorHAnsi" w:cstheme="majorHAnsi"/>
                <w:i/>
                <w:iCs/>
              </w:rPr>
              <w:t>área não descarta a possibilidade de uso de expressões como “pode contribuir” no intuito</w:t>
            </w:r>
            <w:r w:rsidR="00F0469F" w:rsidRPr="00F0469F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F0469F">
              <w:rPr>
                <w:rFonts w:asciiTheme="majorHAnsi" w:hAnsiTheme="majorHAnsi" w:cstheme="majorHAnsi"/>
                <w:i/>
                <w:iCs/>
              </w:rPr>
              <w:t xml:space="preserve">de qualificar alegações com menor qualidade de evidência. Essa é uma </w:t>
            </w:r>
            <w:r w:rsidR="00F0469F" w:rsidRPr="00F0469F">
              <w:rPr>
                <w:rFonts w:asciiTheme="majorHAnsi" w:hAnsiTheme="majorHAnsi" w:cstheme="majorHAnsi"/>
                <w:i/>
                <w:iCs/>
              </w:rPr>
              <w:t>m</w:t>
            </w:r>
            <w:r w:rsidRPr="00F0469F">
              <w:rPr>
                <w:rFonts w:asciiTheme="majorHAnsi" w:hAnsiTheme="majorHAnsi" w:cstheme="majorHAnsi"/>
                <w:i/>
                <w:iCs/>
              </w:rPr>
              <w:t>aturidade que a</w:t>
            </w:r>
            <w:bookmarkEnd w:id="1"/>
            <w:r w:rsidR="00F0469F" w:rsidRPr="00F0469F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F0469F">
              <w:rPr>
                <w:rFonts w:asciiTheme="majorHAnsi" w:hAnsiTheme="majorHAnsi" w:cstheme="majorHAnsi"/>
                <w:i/>
                <w:iCs/>
              </w:rPr>
              <w:t xml:space="preserve">área acumulará com a própria aplicação </w:t>
            </w:r>
            <w:bookmarkStart w:id="2" w:name="_Hlk74665203"/>
            <w:r w:rsidRPr="00F0469F">
              <w:rPr>
                <w:rFonts w:asciiTheme="majorHAnsi" w:hAnsiTheme="majorHAnsi" w:cstheme="majorHAnsi"/>
                <w:i/>
                <w:iCs/>
              </w:rPr>
              <w:t>do Guia.</w:t>
            </w:r>
            <w:bookmarkEnd w:id="2"/>
          </w:p>
        </w:tc>
        <w:tc>
          <w:tcPr>
            <w:tcW w:w="3471" w:type="dxa"/>
          </w:tcPr>
          <w:p w14:paraId="71061907" w14:textId="3F24B2D8" w:rsidR="00593955" w:rsidRPr="00593955" w:rsidRDefault="00F0469F" w:rsidP="0014257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593955">
              <w:rPr>
                <w:rFonts w:asciiTheme="majorHAnsi" w:hAnsiTheme="majorHAnsi" w:cstheme="majorHAnsi"/>
              </w:rPr>
              <w:t>Das discussões iniciais, infere-se que a agência previa a possibilidade de que as alegações refletissem a força e a qualidade da evidência, o que estaria em linha com o objetivo do marco regulatório, em que a segurança do suplemento é foco principal, qualquer alegação cuja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93955">
              <w:rPr>
                <w:rFonts w:asciiTheme="majorHAnsi" w:hAnsiTheme="majorHAnsi" w:cstheme="majorHAnsi"/>
              </w:rPr>
              <w:t xml:space="preserve">evidência não atingisse um padrão ouro poderia ser descrita de </w:t>
            </w:r>
            <w:r w:rsidR="00593955">
              <w:rPr>
                <w:rFonts w:asciiTheme="majorHAnsi" w:hAnsiTheme="majorHAnsi" w:cstheme="majorHAnsi"/>
              </w:rPr>
              <w:t xml:space="preserve">tal </w:t>
            </w:r>
            <w:r w:rsidRPr="00593955">
              <w:rPr>
                <w:rFonts w:asciiTheme="majorHAnsi" w:hAnsiTheme="majorHAnsi" w:cstheme="majorHAnsi"/>
              </w:rPr>
              <w:t xml:space="preserve">forma </w:t>
            </w:r>
            <w:r w:rsidR="00593955">
              <w:rPr>
                <w:rFonts w:asciiTheme="majorHAnsi" w:hAnsiTheme="majorHAnsi" w:cstheme="majorHAnsi"/>
              </w:rPr>
              <w:t>que levasse essa informação ao</w:t>
            </w:r>
            <w:r w:rsidRPr="00593955">
              <w:rPr>
                <w:rFonts w:asciiTheme="majorHAnsi" w:hAnsiTheme="majorHAnsi" w:cstheme="majorHAnsi"/>
              </w:rPr>
              <w:t xml:space="preserve"> consumidor </w:t>
            </w:r>
            <w:r w:rsidR="00593955" w:rsidRPr="00593955">
              <w:rPr>
                <w:rFonts w:asciiTheme="majorHAnsi" w:hAnsiTheme="majorHAnsi" w:cstheme="majorHAnsi"/>
              </w:rPr>
              <w:t>(abordagem</w:t>
            </w:r>
            <w:r w:rsidRPr="00593955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="00593955" w:rsidRPr="00593955">
              <w:rPr>
                <w:rFonts w:asciiTheme="majorHAnsi" w:hAnsiTheme="majorHAnsi" w:cstheme="majorHAnsi"/>
              </w:rPr>
              <w:t>Q</w:t>
            </w:r>
            <w:r w:rsidRPr="00593955">
              <w:rPr>
                <w:rFonts w:asciiTheme="majorHAnsi" w:hAnsiTheme="majorHAnsi" w:cstheme="majorHAnsi"/>
              </w:rPr>
              <w:t>ualified</w:t>
            </w:r>
            <w:proofErr w:type="spellEnd"/>
            <w:r w:rsidRPr="00593955">
              <w:rPr>
                <w:rFonts w:asciiTheme="majorHAnsi" w:hAnsiTheme="majorHAnsi" w:cstheme="majorHAnsi"/>
              </w:rPr>
              <w:t xml:space="preserve"> </w:t>
            </w:r>
            <w:r w:rsidR="00593955" w:rsidRPr="00593955">
              <w:rPr>
                <w:rFonts w:asciiTheme="majorHAnsi" w:hAnsiTheme="majorHAnsi" w:cstheme="majorHAnsi"/>
              </w:rPr>
              <w:t xml:space="preserve">Health </w:t>
            </w:r>
            <w:proofErr w:type="spellStart"/>
            <w:r w:rsidRPr="00593955">
              <w:rPr>
                <w:rFonts w:asciiTheme="majorHAnsi" w:hAnsiTheme="majorHAnsi" w:cstheme="majorHAnsi"/>
              </w:rPr>
              <w:t>claim</w:t>
            </w:r>
            <w:proofErr w:type="spellEnd"/>
            <w:r w:rsidRPr="00593955">
              <w:rPr>
                <w:rFonts w:asciiTheme="majorHAnsi" w:hAnsiTheme="majorHAnsi" w:cstheme="majorHAnsi"/>
              </w:rPr>
              <w:t xml:space="preserve"> do </w:t>
            </w:r>
            <w:r w:rsidR="00593955" w:rsidRPr="00593955">
              <w:rPr>
                <w:rFonts w:asciiTheme="majorHAnsi" w:hAnsiTheme="majorHAnsi" w:cstheme="majorHAnsi"/>
              </w:rPr>
              <w:t xml:space="preserve">FDA).  O que se observa é que isso foi trazido para os </w:t>
            </w:r>
            <w:proofErr w:type="spellStart"/>
            <w:r w:rsidR="00593955" w:rsidRPr="00593955">
              <w:rPr>
                <w:rFonts w:asciiTheme="majorHAnsi" w:hAnsiTheme="majorHAnsi" w:cstheme="majorHAnsi"/>
              </w:rPr>
              <w:t>claims</w:t>
            </w:r>
            <w:proofErr w:type="spellEnd"/>
            <w:r w:rsidR="00593955" w:rsidRPr="00593955">
              <w:rPr>
                <w:rFonts w:asciiTheme="majorHAnsi" w:hAnsiTheme="majorHAnsi" w:cstheme="majorHAnsi"/>
              </w:rPr>
              <w:t xml:space="preserve"> de saúde intestinal, mas parece não ser aceito em outras situações. </w:t>
            </w:r>
          </w:p>
          <w:p w14:paraId="7A32B4C5" w14:textId="6929ADE6" w:rsidR="0014257B" w:rsidRPr="000728CD" w:rsidRDefault="0014257B" w:rsidP="0014257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6E4075BB" w14:textId="7BFA9C1E" w:rsidR="0014257B" w:rsidRPr="000728CD" w:rsidRDefault="0014257B" w:rsidP="0059395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6" w:type="dxa"/>
          </w:tcPr>
          <w:p w14:paraId="7F013721" w14:textId="77777777" w:rsidR="003B2559" w:rsidRPr="00593955" w:rsidRDefault="003B2559" w:rsidP="003B2559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593955">
              <w:rPr>
                <w:rFonts w:asciiTheme="majorHAnsi" w:hAnsiTheme="majorHAnsi" w:cstheme="majorHAnsi"/>
              </w:rPr>
              <w:t xml:space="preserve">Ainda é importante ressaltar que a </w:t>
            </w:r>
            <w:proofErr w:type="spellStart"/>
            <w:r w:rsidRPr="00593955">
              <w:rPr>
                <w:rFonts w:asciiTheme="majorHAnsi" w:hAnsiTheme="majorHAnsi" w:cstheme="majorHAnsi"/>
              </w:rPr>
              <w:t>a</w:t>
            </w:r>
            <w:proofErr w:type="spellEnd"/>
            <w:r w:rsidRPr="00593955">
              <w:rPr>
                <w:rFonts w:asciiTheme="majorHAnsi" w:hAnsiTheme="majorHAnsi" w:cstheme="majorHAnsi"/>
              </w:rPr>
              <w:t xml:space="preserve"> maioria dos </w:t>
            </w:r>
            <w:proofErr w:type="spellStart"/>
            <w:r w:rsidRPr="00593955">
              <w:rPr>
                <w:rFonts w:asciiTheme="majorHAnsi" w:hAnsiTheme="majorHAnsi" w:cstheme="majorHAnsi"/>
              </w:rPr>
              <w:t>claims</w:t>
            </w:r>
            <w:proofErr w:type="spellEnd"/>
            <w:r w:rsidRPr="00593955">
              <w:rPr>
                <w:rFonts w:asciiTheme="majorHAnsi" w:hAnsiTheme="majorHAnsi" w:cstheme="majorHAnsi"/>
              </w:rPr>
              <w:t xml:space="preserve"> para saúde intestinal apresentam a palavra “pode” sem a devida assertividade mesmo para os casos em que a evidência se mostrou consistente e significativa. </w:t>
            </w:r>
          </w:p>
          <w:p w14:paraId="39F1815E" w14:textId="77777777" w:rsidR="0014257B" w:rsidRPr="000728CD" w:rsidRDefault="0014257B" w:rsidP="0059395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C316483" w14:textId="77777777" w:rsidR="004147CC" w:rsidRPr="000728CD" w:rsidRDefault="004147CC">
      <w:pPr>
        <w:rPr>
          <w:rFonts w:asciiTheme="majorHAnsi" w:hAnsiTheme="majorHAnsi" w:cstheme="majorHAnsi"/>
        </w:rPr>
      </w:pPr>
    </w:p>
    <w:sectPr w:rsidR="004147CC" w:rsidRPr="000728CD" w:rsidSect="00B733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F1"/>
    <w:rsid w:val="00051A3C"/>
    <w:rsid w:val="000728CD"/>
    <w:rsid w:val="0014257B"/>
    <w:rsid w:val="00260486"/>
    <w:rsid w:val="003B2559"/>
    <w:rsid w:val="003D4D41"/>
    <w:rsid w:val="003E2648"/>
    <w:rsid w:val="004147CC"/>
    <w:rsid w:val="00504A5D"/>
    <w:rsid w:val="00593955"/>
    <w:rsid w:val="0087542B"/>
    <w:rsid w:val="00B733F1"/>
    <w:rsid w:val="00C56A43"/>
    <w:rsid w:val="00E637C8"/>
    <w:rsid w:val="00F0469F"/>
    <w:rsid w:val="00F702C8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3C35"/>
  <w15:chartTrackingRefBased/>
  <w15:docId w15:val="{217D02E7-5C3A-4DA9-B68F-B4247BF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Tomei</dc:creator>
  <cp:keywords/>
  <dc:description/>
  <cp:lastModifiedBy>Kathia de Farias Schmider</cp:lastModifiedBy>
  <cp:revision>2</cp:revision>
  <dcterms:created xsi:type="dcterms:W3CDTF">2021-08-02T02:12:00Z</dcterms:created>
  <dcterms:modified xsi:type="dcterms:W3CDTF">2021-08-02T02:12:00Z</dcterms:modified>
</cp:coreProperties>
</file>