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67D5" w14:textId="63B49D75" w:rsidR="00C83B93" w:rsidRPr="00042040" w:rsidRDefault="00474566" w:rsidP="00042040">
      <w:pPr>
        <w:jc w:val="center"/>
        <w:rPr>
          <w:rFonts w:asciiTheme="majorHAnsi" w:hAnsiTheme="majorHAnsi" w:cstheme="majorHAnsi"/>
          <w:b/>
          <w:lang w:val="pt-BR"/>
        </w:rPr>
      </w:pPr>
      <w:r w:rsidRPr="00042040">
        <w:rPr>
          <w:rFonts w:asciiTheme="majorHAnsi" w:hAnsiTheme="majorHAnsi" w:cstheme="majorHAnsi"/>
          <w:b/>
          <w:lang w:val="pt-BR"/>
        </w:rPr>
        <w:t>BASES INICIAIS DE REGULAMENTAÇÃO E APROVAÇÃO DE PROBIÓTICOS:</w:t>
      </w:r>
    </w:p>
    <w:p w14:paraId="72646039" w14:textId="77777777" w:rsidR="00474566" w:rsidRDefault="00474566" w:rsidP="0068566B">
      <w:pPr>
        <w:spacing w:after="0"/>
        <w:rPr>
          <w:rFonts w:asciiTheme="majorHAnsi" w:hAnsiTheme="majorHAnsi" w:cstheme="majorHAnsi"/>
          <w:lang w:val="pt-BR"/>
        </w:rPr>
      </w:pPr>
    </w:p>
    <w:tbl>
      <w:tblPr>
        <w:tblStyle w:val="Tabelacomgrade"/>
        <w:tblW w:w="13462" w:type="dxa"/>
        <w:tblLayout w:type="fixed"/>
        <w:tblLook w:val="04A0" w:firstRow="1" w:lastRow="0" w:firstColumn="1" w:lastColumn="0" w:noHBand="0" w:noVBand="1"/>
      </w:tblPr>
      <w:tblGrid>
        <w:gridCol w:w="2547"/>
        <w:gridCol w:w="3544"/>
        <w:gridCol w:w="3827"/>
        <w:gridCol w:w="3544"/>
      </w:tblGrid>
      <w:tr w:rsidR="00330CB3" w:rsidRPr="000728CD" w14:paraId="7AC96F55" w14:textId="31BE90AD" w:rsidTr="00330CB3">
        <w:trPr>
          <w:tblHeader/>
        </w:trPr>
        <w:tc>
          <w:tcPr>
            <w:tcW w:w="2547" w:type="dxa"/>
          </w:tcPr>
          <w:p w14:paraId="7CDAA670" w14:textId="77777777" w:rsidR="00330CB3" w:rsidRPr="000728CD" w:rsidRDefault="00330CB3" w:rsidP="00B04C3C">
            <w:pPr>
              <w:jc w:val="both"/>
              <w:rPr>
                <w:rFonts w:asciiTheme="majorHAnsi" w:hAnsiTheme="majorHAnsi" w:cstheme="majorHAnsi"/>
              </w:rPr>
            </w:pPr>
          </w:p>
        </w:tc>
        <w:tc>
          <w:tcPr>
            <w:tcW w:w="3544" w:type="dxa"/>
          </w:tcPr>
          <w:p w14:paraId="6B301F94" w14:textId="77777777" w:rsidR="00330CB3" w:rsidRPr="000728CD" w:rsidRDefault="00330CB3" w:rsidP="00330CB3">
            <w:pPr>
              <w:jc w:val="center"/>
              <w:rPr>
                <w:rFonts w:asciiTheme="majorHAnsi" w:hAnsiTheme="majorHAnsi" w:cstheme="majorHAnsi"/>
                <w:b/>
                <w:bCs/>
              </w:rPr>
            </w:pPr>
            <w:r w:rsidRPr="000728CD">
              <w:rPr>
                <w:rFonts w:asciiTheme="majorHAnsi" w:hAnsiTheme="majorHAnsi" w:cstheme="majorHAnsi"/>
                <w:b/>
                <w:bCs/>
              </w:rPr>
              <w:t xml:space="preserve">Bases </w:t>
            </w:r>
            <w:proofErr w:type="spellStart"/>
            <w:r w:rsidRPr="000728CD">
              <w:rPr>
                <w:rFonts w:asciiTheme="majorHAnsi" w:hAnsiTheme="majorHAnsi" w:cstheme="majorHAnsi"/>
                <w:b/>
                <w:bCs/>
              </w:rPr>
              <w:t>iniciais</w:t>
            </w:r>
            <w:proofErr w:type="spellEnd"/>
            <w:r w:rsidRPr="000728CD">
              <w:rPr>
                <w:rFonts w:asciiTheme="majorHAnsi" w:hAnsiTheme="majorHAnsi" w:cstheme="majorHAnsi"/>
                <w:b/>
                <w:bCs/>
              </w:rPr>
              <w:t xml:space="preserve"> de </w:t>
            </w:r>
            <w:proofErr w:type="spellStart"/>
            <w:r w:rsidRPr="000728CD">
              <w:rPr>
                <w:rFonts w:asciiTheme="majorHAnsi" w:hAnsiTheme="majorHAnsi" w:cstheme="majorHAnsi"/>
                <w:b/>
                <w:bCs/>
              </w:rPr>
              <w:t>regulamentação</w:t>
            </w:r>
            <w:proofErr w:type="spellEnd"/>
            <w:r w:rsidRPr="000728CD">
              <w:rPr>
                <w:rFonts w:asciiTheme="majorHAnsi" w:hAnsiTheme="majorHAnsi" w:cstheme="majorHAnsi"/>
                <w:b/>
                <w:bCs/>
              </w:rPr>
              <w:t xml:space="preserve"> e </w:t>
            </w:r>
            <w:proofErr w:type="spellStart"/>
            <w:r w:rsidRPr="000728CD">
              <w:rPr>
                <w:rFonts w:asciiTheme="majorHAnsi" w:hAnsiTheme="majorHAnsi" w:cstheme="majorHAnsi"/>
                <w:b/>
                <w:bCs/>
              </w:rPr>
              <w:t>aprovação</w:t>
            </w:r>
            <w:proofErr w:type="spellEnd"/>
            <w:r w:rsidRPr="000728CD">
              <w:rPr>
                <w:rFonts w:asciiTheme="majorHAnsi" w:hAnsiTheme="majorHAnsi" w:cstheme="majorHAnsi"/>
                <w:b/>
                <w:bCs/>
              </w:rPr>
              <w:t xml:space="preserve"> de </w:t>
            </w:r>
            <w:proofErr w:type="spellStart"/>
            <w:r w:rsidRPr="000728CD">
              <w:rPr>
                <w:rFonts w:asciiTheme="majorHAnsi" w:hAnsiTheme="majorHAnsi" w:cstheme="majorHAnsi"/>
                <w:b/>
                <w:bCs/>
              </w:rPr>
              <w:t>probióticos</w:t>
            </w:r>
            <w:proofErr w:type="spellEnd"/>
          </w:p>
        </w:tc>
        <w:tc>
          <w:tcPr>
            <w:tcW w:w="3827" w:type="dxa"/>
          </w:tcPr>
          <w:p w14:paraId="30386B93" w14:textId="3ED2002B" w:rsidR="00330CB3" w:rsidRPr="000728CD" w:rsidRDefault="00330CB3" w:rsidP="00330CB3">
            <w:pPr>
              <w:jc w:val="center"/>
              <w:rPr>
                <w:rFonts w:asciiTheme="majorHAnsi" w:hAnsiTheme="majorHAnsi" w:cstheme="majorHAnsi"/>
                <w:b/>
                <w:bCs/>
              </w:rPr>
            </w:pPr>
            <w:proofErr w:type="spellStart"/>
            <w:r w:rsidRPr="000728CD">
              <w:rPr>
                <w:rFonts w:asciiTheme="majorHAnsi" w:hAnsiTheme="majorHAnsi" w:cstheme="majorHAnsi"/>
                <w:b/>
                <w:bCs/>
              </w:rPr>
              <w:t>Abordagem</w:t>
            </w:r>
            <w:proofErr w:type="spellEnd"/>
            <w:r w:rsidRPr="000728CD">
              <w:rPr>
                <w:rFonts w:asciiTheme="majorHAnsi" w:hAnsiTheme="majorHAnsi" w:cstheme="majorHAnsi"/>
                <w:b/>
                <w:bCs/>
              </w:rPr>
              <w:t xml:space="preserve"> </w:t>
            </w:r>
            <w:proofErr w:type="spellStart"/>
            <w:r w:rsidRPr="000728CD">
              <w:rPr>
                <w:rFonts w:asciiTheme="majorHAnsi" w:hAnsiTheme="majorHAnsi" w:cstheme="majorHAnsi"/>
                <w:b/>
                <w:bCs/>
              </w:rPr>
              <w:t>atual</w:t>
            </w:r>
            <w:proofErr w:type="spellEnd"/>
            <w:r w:rsidRPr="000728CD">
              <w:rPr>
                <w:rFonts w:asciiTheme="majorHAnsi" w:hAnsiTheme="majorHAnsi" w:cstheme="majorHAnsi"/>
                <w:b/>
                <w:bCs/>
              </w:rPr>
              <w:t xml:space="preserve"> </w:t>
            </w:r>
            <w:r>
              <w:rPr>
                <w:rFonts w:asciiTheme="majorHAnsi" w:hAnsiTheme="majorHAnsi" w:cstheme="majorHAnsi"/>
                <w:b/>
                <w:bCs/>
              </w:rPr>
              <w:t xml:space="preserve">/ </w:t>
            </w:r>
            <w:proofErr w:type="spellStart"/>
            <w:r>
              <w:rPr>
                <w:rFonts w:asciiTheme="majorHAnsi" w:hAnsiTheme="majorHAnsi" w:cstheme="majorHAnsi"/>
                <w:b/>
                <w:bCs/>
              </w:rPr>
              <w:t>comentários</w:t>
            </w:r>
            <w:proofErr w:type="spellEnd"/>
          </w:p>
        </w:tc>
        <w:tc>
          <w:tcPr>
            <w:tcW w:w="3544" w:type="dxa"/>
          </w:tcPr>
          <w:p w14:paraId="7F83B526" w14:textId="77777777" w:rsidR="00330CB3" w:rsidRPr="000728CD" w:rsidRDefault="00330CB3" w:rsidP="00330CB3">
            <w:pPr>
              <w:ind w:right="1075"/>
              <w:jc w:val="center"/>
              <w:rPr>
                <w:rFonts w:asciiTheme="majorHAnsi" w:hAnsiTheme="majorHAnsi" w:cstheme="majorHAnsi"/>
              </w:rPr>
            </w:pPr>
            <w:proofErr w:type="spellStart"/>
            <w:r w:rsidRPr="003E2648">
              <w:rPr>
                <w:rFonts w:asciiTheme="majorHAnsi" w:hAnsiTheme="majorHAnsi" w:cstheme="majorHAnsi"/>
                <w:b/>
                <w:bCs/>
              </w:rPr>
              <w:t>observaçõe</w:t>
            </w:r>
            <w:r>
              <w:rPr>
                <w:rFonts w:asciiTheme="majorHAnsi" w:hAnsiTheme="majorHAnsi" w:cstheme="majorHAnsi"/>
              </w:rPr>
              <w:t>s</w:t>
            </w:r>
            <w:proofErr w:type="spellEnd"/>
          </w:p>
        </w:tc>
      </w:tr>
      <w:tr w:rsidR="00330CB3" w:rsidRPr="000728CD" w14:paraId="376F790E" w14:textId="684852D7" w:rsidTr="00330CB3">
        <w:tc>
          <w:tcPr>
            <w:tcW w:w="2547" w:type="dxa"/>
          </w:tcPr>
          <w:p w14:paraId="1CC10BE3" w14:textId="77777777" w:rsidR="00330CB3" w:rsidRPr="000728CD" w:rsidRDefault="00330CB3" w:rsidP="00B04C3C">
            <w:pPr>
              <w:jc w:val="both"/>
              <w:rPr>
                <w:rFonts w:asciiTheme="majorHAnsi" w:hAnsiTheme="majorHAnsi" w:cstheme="majorHAnsi"/>
              </w:rPr>
            </w:pPr>
            <w:proofErr w:type="spellStart"/>
            <w:r w:rsidRPr="000728CD">
              <w:rPr>
                <w:rFonts w:asciiTheme="majorHAnsi" w:hAnsiTheme="majorHAnsi" w:cstheme="majorHAnsi"/>
              </w:rPr>
              <w:t>Suplementos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alimentares</w:t>
            </w:r>
            <w:proofErr w:type="spellEnd"/>
            <w:r w:rsidRPr="000728CD">
              <w:rPr>
                <w:rFonts w:asciiTheme="majorHAnsi" w:hAnsiTheme="majorHAnsi" w:cstheme="majorHAnsi"/>
              </w:rPr>
              <w:t>:</w:t>
            </w:r>
          </w:p>
          <w:p w14:paraId="34F1CE9E" w14:textId="77777777" w:rsidR="00330CB3" w:rsidRPr="000728CD" w:rsidRDefault="00330CB3" w:rsidP="00B04C3C">
            <w:pPr>
              <w:jc w:val="both"/>
              <w:rPr>
                <w:rFonts w:asciiTheme="majorHAnsi" w:hAnsiTheme="majorHAnsi" w:cstheme="majorHAnsi"/>
                <w:b/>
                <w:bCs/>
              </w:rPr>
            </w:pPr>
            <w:proofErr w:type="spellStart"/>
            <w:r w:rsidRPr="000728CD">
              <w:rPr>
                <w:rFonts w:asciiTheme="majorHAnsi" w:hAnsiTheme="majorHAnsi" w:cstheme="majorHAnsi"/>
                <w:b/>
                <w:bCs/>
              </w:rPr>
              <w:t>Documento</w:t>
            </w:r>
            <w:proofErr w:type="spellEnd"/>
            <w:r w:rsidRPr="000728CD">
              <w:rPr>
                <w:rFonts w:asciiTheme="majorHAnsi" w:hAnsiTheme="majorHAnsi" w:cstheme="majorHAnsi"/>
                <w:b/>
                <w:bCs/>
              </w:rPr>
              <w:t xml:space="preserve"> de base para </w:t>
            </w:r>
            <w:proofErr w:type="spellStart"/>
            <w:r w:rsidRPr="000728CD">
              <w:rPr>
                <w:rFonts w:asciiTheme="majorHAnsi" w:hAnsiTheme="majorHAnsi" w:cstheme="majorHAnsi"/>
                <w:b/>
                <w:bCs/>
              </w:rPr>
              <w:t>discussão</w:t>
            </w:r>
            <w:proofErr w:type="spellEnd"/>
            <w:r w:rsidRPr="000728CD">
              <w:rPr>
                <w:rFonts w:asciiTheme="majorHAnsi" w:hAnsiTheme="majorHAnsi" w:cstheme="majorHAnsi"/>
                <w:b/>
                <w:bCs/>
              </w:rPr>
              <w:t xml:space="preserve"> </w:t>
            </w:r>
            <w:proofErr w:type="spellStart"/>
            <w:r w:rsidRPr="000728CD">
              <w:rPr>
                <w:rFonts w:asciiTheme="majorHAnsi" w:hAnsiTheme="majorHAnsi" w:cstheme="majorHAnsi"/>
                <w:b/>
                <w:bCs/>
              </w:rPr>
              <w:t>regulatória</w:t>
            </w:r>
            <w:proofErr w:type="spellEnd"/>
            <w:r w:rsidRPr="000728CD">
              <w:rPr>
                <w:rFonts w:asciiTheme="majorHAnsi" w:hAnsiTheme="majorHAnsi" w:cstheme="majorHAnsi"/>
                <w:b/>
                <w:bCs/>
              </w:rPr>
              <w:t xml:space="preserve"> - </w:t>
            </w:r>
            <w:proofErr w:type="spellStart"/>
            <w:r w:rsidRPr="000728CD">
              <w:rPr>
                <w:rFonts w:asciiTheme="majorHAnsi" w:hAnsiTheme="majorHAnsi" w:cstheme="majorHAnsi"/>
                <w:b/>
                <w:bCs/>
              </w:rPr>
              <w:t>junho</w:t>
            </w:r>
            <w:proofErr w:type="spellEnd"/>
            <w:r w:rsidRPr="000728CD">
              <w:rPr>
                <w:rFonts w:asciiTheme="majorHAnsi" w:hAnsiTheme="majorHAnsi" w:cstheme="majorHAnsi"/>
                <w:b/>
                <w:bCs/>
              </w:rPr>
              <w:t xml:space="preserve"> de 2017</w:t>
            </w:r>
          </w:p>
        </w:tc>
        <w:tc>
          <w:tcPr>
            <w:tcW w:w="3544" w:type="dxa"/>
          </w:tcPr>
          <w:p w14:paraId="3B90645B" w14:textId="77777777" w:rsidR="00330CB3" w:rsidRPr="000728CD" w:rsidRDefault="00330CB3" w:rsidP="00B04C3C">
            <w:pPr>
              <w:jc w:val="both"/>
              <w:rPr>
                <w:rFonts w:asciiTheme="majorHAnsi" w:hAnsiTheme="majorHAnsi" w:cstheme="majorHAnsi"/>
              </w:rPr>
            </w:pPr>
            <w:r w:rsidRPr="000728CD">
              <w:rPr>
                <w:rFonts w:asciiTheme="majorHAnsi" w:hAnsiTheme="majorHAnsi" w:cstheme="majorHAnsi"/>
              </w:rPr>
              <w:t>“</w:t>
            </w:r>
            <w:proofErr w:type="spellStart"/>
            <w:r w:rsidRPr="000728CD">
              <w:rPr>
                <w:rFonts w:asciiTheme="majorHAnsi" w:hAnsiTheme="majorHAnsi" w:cstheme="majorHAnsi"/>
              </w:rPr>
              <w:t>necessária</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uma</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regulamentação</w:t>
            </w:r>
            <w:proofErr w:type="spellEnd"/>
            <w:r w:rsidRPr="000728CD">
              <w:rPr>
                <w:rFonts w:asciiTheme="majorHAnsi" w:hAnsiTheme="majorHAnsi" w:cstheme="majorHAnsi"/>
              </w:rPr>
              <w:t xml:space="preserve"> que </w:t>
            </w:r>
            <w:proofErr w:type="spellStart"/>
            <w:r w:rsidRPr="000728CD">
              <w:rPr>
                <w:rFonts w:asciiTheme="majorHAnsi" w:hAnsiTheme="majorHAnsi" w:cstheme="majorHAnsi"/>
              </w:rPr>
              <w:t>seja</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capaz</w:t>
            </w:r>
            <w:proofErr w:type="spellEnd"/>
            <w:r w:rsidRPr="000728CD">
              <w:rPr>
                <w:rFonts w:asciiTheme="majorHAnsi" w:hAnsiTheme="majorHAnsi" w:cstheme="majorHAnsi"/>
              </w:rPr>
              <w:t xml:space="preserve"> de lidar, de </w:t>
            </w:r>
            <w:proofErr w:type="spellStart"/>
            <w:r w:rsidRPr="000728CD">
              <w:rPr>
                <w:rFonts w:asciiTheme="majorHAnsi" w:hAnsiTheme="majorHAnsi" w:cstheme="majorHAnsi"/>
              </w:rPr>
              <w:t>maneira</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adequada</w:t>
            </w:r>
            <w:proofErr w:type="spellEnd"/>
            <w:r w:rsidRPr="000728CD">
              <w:rPr>
                <w:rFonts w:asciiTheme="majorHAnsi" w:hAnsiTheme="majorHAnsi" w:cstheme="majorHAnsi"/>
              </w:rPr>
              <w:t xml:space="preserve">, com as </w:t>
            </w:r>
            <w:proofErr w:type="spellStart"/>
            <w:r w:rsidRPr="000728CD">
              <w:rPr>
                <w:rFonts w:asciiTheme="majorHAnsi" w:hAnsiTheme="majorHAnsi" w:cstheme="majorHAnsi"/>
              </w:rPr>
              <w:t>características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desse</w:t>
            </w:r>
            <w:proofErr w:type="spellEnd"/>
            <w:r w:rsidRPr="000728CD">
              <w:rPr>
                <w:rFonts w:asciiTheme="majorHAnsi" w:hAnsiTheme="majorHAnsi" w:cstheme="majorHAnsi"/>
              </w:rPr>
              <w:t xml:space="preserve"> mercado, de forma a </w:t>
            </w:r>
            <w:proofErr w:type="spellStart"/>
            <w:r w:rsidRPr="000728CD">
              <w:rPr>
                <w:rFonts w:asciiTheme="majorHAnsi" w:hAnsiTheme="majorHAnsi" w:cstheme="majorHAnsi"/>
                <w:b/>
                <w:bCs/>
              </w:rPr>
              <w:t>proteger</w:t>
            </w:r>
            <w:proofErr w:type="spellEnd"/>
            <w:r w:rsidRPr="000728CD">
              <w:rPr>
                <w:rFonts w:asciiTheme="majorHAnsi" w:hAnsiTheme="majorHAnsi" w:cstheme="majorHAnsi"/>
                <w:b/>
                <w:bCs/>
              </w:rPr>
              <w:t xml:space="preserve"> a </w:t>
            </w:r>
            <w:proofErr w:type="spellStart"/>
            <w:r w:rsidRPr="000728CD">
              <w:rPr>
                <w:rFonts w:asciiTheme="majorHAnsi" w:hAnsiTheme="majorHAnsi" w:cstheme="majorHAnsi"/>
                <w:b/>
                <w:bCs/>
              </w:rPr>
              <w:t>saúde</w:t>
            </w:r>
            <w:proofErr w:type="spellEnd"/>
            <w:r w:rsidRPr="000728CD">
              <w:rPr>
                <w:rFonts w:asciiTheme="majorHAnsi" w:hAnsiTheme="majorHAnsi" w:cstheme="majorHAnsi"/>
                <w:b/>
                <w:bCs/>
              </w:rPr>
              <w:t xml:space="preserve"> da </w:t>
            </w:r>
            <w:proofErr w:type="spellStart"/>
            <w:r w:rsidRPr="000728CD">
              <w:rPr>
                <w:rFonts w:asciiTheme="majorHAnsi" w:hAnsiTheme="majorHAnsi" w:cstheme="majorHAnsi"/>
                <w:b/>
                <w:bCs/>
              </w:rPr>
              <w:t>população</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b/>
                <w:bCs/>
              </w:rPr>
              <w:t>sem</w:t>
            </w:r>
            <w:proofErr w:type="spellEnd"/>
            <w:r w:rsidRPr="000728CD">
              <w:rPr>
                <w:rFonts w:asciiTheme="majorHAnsi" w:hAnsiTheme="majorHAnsi" w:cstheme="majorHAnsi"/>
                <w:b/>
                <w:bCs/>
              </w:rPr>
              <w:t xml:space="preserve"> </w:t>
            </w:r>
            <w:proofErr w:type="spellStart"/>
            <w:r w:rsidRPr="000728CD">
              <w:rPr>
                <w:rFonts w:asciiTheme="majorHAnsi" w:hAnsiTheme="majorHAnsi" w:cstheme="majorHAnsi"/>
                <w:b/>
                <w:bCs/>
              </w:rPr>
              <w:t>inibir</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desnecessariamente</w:t>
            </w:r>
            <w:proofErr w:type="spellEnd"/>
            <w:r w:rsidRPr="000728CD">
              <w:rPr>
                <w:rFonts w:asciiTheme="majorHAnsi" w:hAnsiTheme="majorHAnsi" w:cstheme="majorHAnsi"/>
              </w:rPr>
              <w:t xml:space="preserve">, o </w:t>
            </w:r>
            <w:proofErr w:type="spellStart"/>
            <w:r w:rsidRPr="000728CD">
              <w:rPr>
                <w:rFonts w:asciiTheme="majorHAnsi" w:hAnsiTheme="majorHAnsi" w:cstheme="majorHAnsi"/>
                <w:b/>
                <w:bCs/>
              </w:rPr>
              <w:t>desenvolvimento</w:t>
            </w:r>
            <w:proofErr w:type="spellEnd"/>
            <w:r w:rsidRPr="000728CD">
              <w:rPr>
                <w:rFonts w:asciiTheme="majorHAnsi" w:hAnsiTheme="majorHAnsi" w:cstheme="majorHAnsi"/>
                <w:b/>
                <w:bCs/>
              </w:rPr>
              <w:t xml:space="preserve"> do </w:t>
            </w:r>
            <w:proofErr w:type="spellStart"/>
            <w:r w:rsidRPr="000728CD">
              <w:rPr>
                <w:rFonts w:asciiTheme="majorHAnsi" w:hAnsiTheme="majorHAnsi" w:cstheme="majorHAnsi"/>
                <w:b/>
                <w:bCs/>
              </w:rPr>
              <w:t>setor</w:t>
            </w:r>
            <w:proofErr w:type="spellEnd"/>
            <w:r w:rsidRPr="000728CD">
              <w:rPr>
                <w:rFonts w:asciiTheme="majorHAnsi" w:hAnsiTheme="majorHAnsi" w:cstheme="majorHAnsi"/>
                <w:b/>
                <w:bCs/>
              </w:rPr>
              <w:t xml:space="preserve"> e o </w:t>
            </w:r>
            <w:proofErr w:type="spellStart"/>
            <w:r w:rsidRPr="000728CD">
              <w:rPr>
                <w:rFonts w:asciiTheme="majorHAnsi" w:hAnsiTheme="majorHAnsi" w:cstheme="majorHAnsi"/>
                <w:b/>
                <w:bCs/>
              </w:rPr>
              <w:t>acesso</w:t>
            </w:r>
            <w:proofErr w:type="spellEnd"/>
            <w:r w:rsidRPr="000728CD">
              <w:rPr>
                <w:rFonts w:asciiTheme="majorHAnsi" w:hAnsiTheme="majorHAnsi" w:cstheme="majorHAnsi"/>
                <w:b/>
                <w:bCs/>
              </w:rPr>
              <w:t xml:space="preserve"> a </w:t>
            </w:r>
            <w:proofErr w:type="spellStart"/>
            <w:r w:rsidRPr="000728CD">
              <w:rPr>
                <w:rFonts w:asciiTheme="majorHAnsi" w:hAnsiTheme="majorHAnsi" w:cstheme="majorHAnsi"/>
                <w:b/>
                <w:bCs/>
              </w:rPr>
              <w:t>tais</w:t>
            </w:r>
            <w:proofErr w:type="spellEnd"/>
            <w:r w:rsidRPr="000728CD">
              <w:rPr>
                <w:rFonts w:asciiTheme="majorHAnsi" w:hAnsiTheme="majorHAnsi" w:cstheme="majorHAnsi"/>
                <w:b/>
                <w:bCs/>
              </w:rPr>
              <w:t xml:space="preserve"> </w:t>
            </w:r>
            <w:proofErr w:type="spellStart"/>
            <w:r w:rsidRPr="000728CD">
              <w:rPr>
                <w:rFonts w:asciiTheme="majorHAnsi" w:hAnsiTheme="majorHAnsi" w:cstheme="majorHAnsi"/>
                <w:b/>
                <w:bCs/>
              </w:rPr>
              <w:t>produtos</w:t>
            </w:r>
            <w:proofErr w:type="spellEnd"/>
            <w:r w:rsidRPr="000728CD">
              <w:rPr>
                <w:rFonts w:asciiTheme="majorHAnsi" w:hAnsiTheme="majorHAnsi" w:cstheme="majorHAnsi"/>
              </w:rPr>
              <w:t xml:space="preserve">. Para lidar com </w:t>
            </w:r>
            <w:proofErr w:type="spellStart"/>
            <w:r w:rsidRPr="000728CD">
              <w:rPr>
                <w:rFonts w:asciiTheme="majorHAnsi" w:hAnsiTheme="majorHAnsi" w:cstheme="majorHAnsi"/>
              </w:rPr>
              <w:t>essa</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situação</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foram</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traçados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os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seguintes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objetivos</w:t>
            </w:r>
            <w:proofErr w:type="spellEnd"/>
            <w:r w:rsidRPr="000728CD">
              <w:rPr>
                <w:rFonts w:asciiTheme="majorHAnsi" w:hAnsiTheme="majorHAnsi" w:cstheme="majorHAnsi"/>
              </w:rPr>
              <w:t xml:space="preserve"> para </w:t>
            </w:r>
            <w:proofErr w:type="gramStart"/>
            <w:r w:rsidRPr="000728CD">
              <w:rPr>
                <w:rFonts w:asciiTheme="majorHAnsi" w:hAnsiTheme="majorHAnsi" w:cstheme="majorHAnsi"/>
              </w:rPr>
              <w:t>a</w:t>
            </w:r>
            <w:proofErr w:type="gramEnd"/>
            <w:r w:rsidRPr="000728CD">
              <w:rPr>
                <w:rFonts w:asciiTheme="majorHAnsi" w:hAnsiTheme="majorHAnsi" w:cstheme="majorHAnsi"/>
              </w:rPr>
              <w:t xml:space="preserve"> </w:t>
            </w:r>
            <w:proofErr w:type="spellStart"/>
            <w:r w:rsidRPr="000728CD">
              <w:rPr>
                <w:rFonts w:asciiTheme="majorHAnsi" w:hAnsiTheme="majorHAnsi" w:cstheme="majorHAnsi"/>
              </w:rPr>
              <w:t>intervenção</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regulatória</w:t>
            </w:r>
            <w:proofErr w:type="spellEnd"/>
            <w:r w:rsidRPr="000728CD">
              <w:rPr>
                <w:rFonts w:asciiTheme="majorHAnsi" w:hAnsiTheme="majorHAnsi" w:cstheme="majorHAnsi"/>
              </w:rPr>
              <w:t xml:space="preserve">. </w:t>
            </w:r>
            <w:r w:rsidRPr="000728CD">
              <w:rPr>
                <w:rFonts w:asciiTheme="majorHAnsi" w:hAnsiTheme="majorHAnsi" w:cstheme="majorHAnsi"/>
                <w:noProof/>
                <w:lang w:eastAsia="pt-BR"/>
              </w:rPr>
              <w:drawing>
                <wp:inline distT="0" distB="0" distL="0" distR="0" wp14:anchorId="5D8A60A5" wp14:editId="20AA8923">
                  <wp:extent cx="2446020" cy="14360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784" cy="1442926"/>
                          </a:xfrm>
                          <a:prstGeom prst="rect">
                            <a:avLst/>
                          </a:prstGeom>
                          <a:noFill/>
                          <a:ln>
                            <a:noFill/>
                          </a:ln>
                        </pic:spPr>
                      </pic:pic>
                    </a:graphicData>
                  </a:graphic>
                </wp:inline>
              </w:drawing>
            </w:r>
          </w:p>
        </w:tc>
        <w:tc>
          <w:tcPr>
            <w:tcW w:w="3827" w:type="dxa"/>
          </w:tcPr>
          <w:p w14:paraId="2D66D28C" w14:textId="77777777" w:rsidR="00330CB3" w:rsidRPr="000728CD" w:rsidRDefault="00330CB3" w:rsidP="00B04C3C">
            <w:pPr>
              <w:jc w:val="both"/>
              <w:rPr>
                <w:rFonts w:asciiTheme="majorHAnsi" w:hAnsiTheme="majorHAnsi" w:cstheme="majorHAnsi"/>
              </w:rPr>
            </w:pPr>
            <w:r w:rsidRPr="000728CD">
              <w:rPr>
                <w:rFonts w:asciiTheme="majorHAnsi" w:hAnsiTheme="majorHAnsi" w:cstheme="majorHAnsi"/>
              </w:rPr>
              <w:t xml:space="preserve">A </w:t>
            </w:r>
            <w:proofErr w:type="spellStart"/>
            <w:r w:rsidRPr="000728CD">
              <w:rPr>
                <w:rFonts w:asciiTheme="majorHAnsi" w:hAnsiTheme="majorHAnsi" w:cstheme="majorHAnsi"/>
              </w:rPr>
              <w:t>proteção</w:t>
            </w:r>
            <w:proofErr w:type="spellEnd"/>
            <w:r w:rsidRPr="000728CD">
              <w:rPr>
                <w:rFonts w:asciiTheme="majorHAnsi" w:hAnsiTheme="majorHAnsi" w:cstheme="majorHAnsi"/>
              </w:rPr>
              <w:t xml:space="preserve"> à </w:t>
            </w:r>
            <w:proofErr w:type="spellStart"/>
            <w:r w:rsidRPr="000728CD">
              <w:rPr>
                <w:rFonts w:asciiTheme="majorHAnsi" w:hAnsiTheme="majorHAnsi" w:cstheme="majorHAnsi"/>
              </w:rPr>
              <w:t>saúde</w:t>
            </w:r>
            <w:proofErr w:type="spellEnd"/>
            <w:r w:rsidRPr="000728CD">
              <w:rPr>
                <w:rFonts w:asciiTheme="majorHAnsi" w:hAnsiTheme="majorHAnsi" w:cstheme="majorHAnsi"/>
              </w:rPr>
              <w:t xml:space="preserve"> do </w:t>
            </w:r>
            <w:proofErr w:type="spellStart"/>
            <w:r w:rsidRPr="000728CD">
              <w:rPr>
                <w:rFonts w:asciiTheme="majorHAnsi" w:hAnsiTheme="majorHAnsi" w:cstheme="majorHAnsi"/>
              </w:rPr>
              <w:t>consumidor</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está</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vinculada</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sobretudo</w:t>
            </w:r>
            <w:proofErr w:type="spellEnd"/>
            <w:r w:rsidRPr="000728CD">
              <w:rPr>
                <w:rFonts w:asciiTheme="majorHAnsi" w:hAnsiTheme="majorHAnsi" w:cstheme="majorHAnsi"/>
              </w:rPr>
              <w:t xml:space="preserve"> à </w:t>
            </w:r>
            <w:proofErr w:type="spellStart"/>
            <w:r w:rsidRPr="000728CD">
              <w:rPr>
                <w:rFonts w:asciiTheme="majorHAnsi" w:hAnsiTheme="majorHAnsi" w:cstheme="majorHAnsi"/>
              </w:rPr>
              <w:t>segurança</w:t>
            </w:r>
            <w:proofErr w:type="spellEnd"/>
            <w:r w:rsidRPr="000728CD">
              <w:rPr>
                <w:rFonts w:asciiTheme="majorHAnsi" w:hAnsiTheme="majorHAnsi" w:cstheme="majorHAnsi"/>
              </w:rPr>
              <w:t xml:space="preserve"> dos </w:t>
            </w:r>
            <w:proofErr w:type="spellStart"/>
            <w:r w:rsidRPr="000728CD">
              <w:rPr>
                <w:rFonts w:asciiTheme="majorHAnsi" w:hAnsiTheme="majorHAnsi" w:cstheme="majorHAnsi"/>
              </w:rPr>
              <w:t>produtos</w:t>
            </w:r>
            <w:proofErr w:type="spellEnd"/>
            <w:r w:rsidRPr="000728CD">
              <w:rPr>
                <w:rFonts w:asciiTheme="majorHAnsi" w:hAnsiTheme="majorHAnsi" w:cstheme="majorHAnsi"/>
              </w:rPr>
              <w:t xml:space="preserve">, mas </w:t>
            </w:r>
            <w:proofErr w:type="spellStart"/>
            <w:r w:rsidRPr="000728CD">
              <w:rPr>
                <w:rFonts w:asciiTheme="majorHAnsi" w:hAnsiTheme="majorHAnsi" w:cstheme="majorHAnsi"/>
              </w:rPr>
              <w:t>muitos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desafios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estão</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relacionados</w:t>
            </w:r>
            <w:proofErr w:type="spellEnd"/>
            <w:r w:rsidRPr="000728CD">
              <w:rPr>
                <w:rFonts w:asciiTheme="majorHAnsi" w:hAnsiTheme="majorHAnsi" w:cstheme="majorHAnsi"/>
              </w:rPr>
              <w:t xml:space="preserve"> à </w:t>
            </w:r>
            <w:proofErr w:type="spellStart"/>
            <w:r w:rsidRPr="000728CD">
              <w:rPr>
                <w:rFonts w:asciiTheme="majorHAnsi" w:hAnsiTheme="majorHAnsi" w:cstheme="majorHAnsi"/>
              </w:rPr>
              <w:t>comprovação</w:t>
            </w:r>
            <w:proofErr w:type="spellEnd"/>
            <w:r w:rsidRPr="000728CD">
              <w:rPr>
                <w:rFonts w:asciiTheme="majorHAnsi" w:hAnsiTheme="majorHAnsi" w:cstheme="majorHAnsi"/>
              </w:rPr>
              <w:t xml:space="preserve"> de </w:t>
            </w:r>
            <w:proofErr w:type="spellStart"/>
            <w:r w:rsidRPr="000728CD">
              <w:rPr>
                <w:rFonts w:asciiTheme="majorHAnsi" w:hAnsiTheme="majorHAnsi" w:cstheme="majorHAnsi"/>
              </w:rPr>
              <w:t>eficácia</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finalidade</w:t>
            </w:r>
            <w:proofErr w:type="spellEnd"/>
            <w:r w:rsidRPr="000728CD">
              <w:rPr>
                <w:rFonts w:asciiTheme="majorHAnsi" w:hAnsiTheme="majorHAnsi" w:cstheme="majorHAnsi"/>
              </w:rPr>
              <w:t xml:space="preserve"> de </w:t>
            </w:r>
            <w:proofErr w:type="spellStart"/>
            <w:r w:rsidRPr="000728CD">
              <w:rPr>
                <w:rFonts w:asciiTheme="majorHAnsi" w:hAnsiTheme="majorHAnsi" w:cstheme="majorHAnsi"/>
              </w:rPr>
              <w:t>uso</w:t>
            </w:r>
            <w:proofErr w:type="spellEnd"/>
            <w:r w:rsidRPr="000728CD">
              <w:rPr>
                <w:rFonts w:asciiTheme="majorHAnsi" w:hAnsiTheme="majorHAnsi" w:cstheme="majorHAnsi"/>
              </w:rPr>
              <w:t xml:space="preserve"> e claims. </w:t>
            </w:r>
            <w:proofErr w:type="spellStart"/>
            <w:r w:rsidRPr="000728CD">
              <w:rPr>
                <w:rFonts w:asciiTheme="majorHAnsi" w:hAnsiTheme="majorHAnsi" w:cstheme="majorHAnsi"/>
              </w:rPr>
              <w:t>Há</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uma</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preocupação</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muito</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grande</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quanto</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ao</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entendimento</w:t>
            </w:r>
            <w:proofErr w:type="spellEnd"/>
            <w:r w:rsidRPr="000728CD">
              <w:rPr>
                <w:rFonts w:asciiTheme="majorHAnsi" w:hAnsiTheme="majorHAnsi" w:cstheme="majorHAnsi"/>
              </w:rPr>
              <w:t xml:space="preserve"> e </w:t>
            </w:r>
            <w:proofErr w:type="spellStart"/>
            <w:r w:rsidRPr="000728CD">
              <w:rPr>
                <w:rFonts w:asciiTheme="majorHAnsi" w:hAnsiTheme="majorHAnsi" w:cstheme="majorHAnsi"/>
              </w:rPr>
              <w:t>expectativa</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criada</w:t>
            </w:r>
            <w:proofErr w:type="spellEnd"/>
            <w:r w:rsidRPr="000728CD">
              <w:rPr>
                <w:rFonts w:asciiTheme="majorHAnsi" w:hAnsiTheme="majorHAnsi" w:cstheme="majorHAnsi"/>
              </w:rPr>
              <w:t xml:space="preserve"> no </w:t>
            </w:r>
            <w:proofErr w:type="spellStart"/>
            <w:r w:rsidRPr="000728CD">
              <w:rPr>
                <w:rFonts w:asciiTheme="majorHAnsi" w:hAnsiTheme="majorHAnsi" w:cstheme="majorHAnsi"/>
              </w:rPr>
              <w:t>consumidor</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em</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relação</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aos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suplementos</w:t>
            </w:r>
            <w:proofErr w:type="spellEnd"/>
            <w:r w:rsidRPr="000728CD">
              <w:rPr>
                <w:rFonts w:asciiTheme="majorHAnsi" w:hAnsiTheme="majorHAnsi" w:cstheme="majorHAnsi"/>
              </w:rPr>
              <w:t xml:space="preserve">. </w:t>
            </w:r>
          </w:p>
        </w:tc>
        <w:tc>
          <w:tcPr>
            <w:tcW w:w="3544" w:type="dxa"/>
          </w:tcPr>
          <w:p w14:paraId="5CA81661" w14:textId="77777777" w:rsidR="00330CB3" w:rsidRPr="000728CD" w:rsidRDefault="00330CB3" w:rsidP="00B04C3C">
            <w:pPr>
              <w:jc w:val="both"/>
              <w:rPr>
                <w:rFonts w:asciiTheme="majorHAnsi" w:hAnsiTheme="majorHAnsi" w:cstheme="majorHAnsi"/>
              </w:rPr>
            </w:pPr>
            <w:r w:rsidRPr="000728CD">
              <w:rPr>
                <w:rFonts w:asciiTheme="majorHAnsi" w:hAnsiTheme="majorHAnsi" w:cstheme="majorHAnsi"/>
              </w:rPr>
              <w:t xml:space="preserve">No </w:t>
            </w:r>
            <w:proofErr w:type="spellStart"/>
            <w:r w:rsidRPr="000728CD">
              <w:rPr>
                <w:rFonts w:asciiTheme="majorHAnsi" w:hAnsiTheme="majorHAnsi" w:cstheme="majorHAnsi"/>
              </w:rPr>
              <w:t>caso</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específico</w:t>
            </w:r>
            <w:proofErr w:type="spellEnd"/>
            <w:r w:rsidRPr="000728CD">
              <w:rPr>
                <w:rFonts w:asciiTheme="majorHAnsi" w:hAnsiTheme="majorHAnsi" w:cstheme="majorHAnsi"/>
              </w:rPr>
              <w:t xml:space="preserve"> de </w:t>
            </w:r>
            <w:proofErr w:type="spellStart"/>
            <w:r w:rsidRPr="000728CD">
              <w:rPr>
                <w:rFonts w:asciiTheme="majorHAnsi" w:hAnsiTheme="majorHAnsi" w:cstheme="majorHAnsi"/>
              </w:rPr>
              <w:t>substância</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bioativas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temos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casos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em</w:t>
            </w:r>
            <w:proofErr w:type="spellEnd"/>
            <w:r w:rsidRPr="000728CD">
              <w:rPr>
                <w:rFonts w:asciiTheme="majorHAnsi" w:hAnsiTheme="majorHAnsi" w:cstheme="majorHAnsi"/>
              </w:rPr>
              <w:t xml:space="preserve"> que a </w:t>
            </w:r>
            <w:proofErr w:type="spellStart"/>
            <w:r w:rsidRPr="000728CD">
              <w:rPr>
                <w:rFonts w:asciiTheme="majorHAnsi" w:hAnsiTheme="majorHAnsi" w:cstheme="majorHAnsi"/>
              </w:rPr>
              <w:t>descrição</w:t>
            </w:r>
            <w:proofErr w:type="spellEnd"/>
            <w:r w:rsidRPr="000728CD">
              <w:rPr>
                <w:rFonts w:asciiTheme="majorHAnsi" w:hAnsiTheme="majorHAnsi" w:cstheme="majorHAnsi"/>
              </w:rPr>
              <w:t xml:space="preserve"> do </w:t>
            </w:r>
            <w:proofErr w:type="spellStart"/>
            <w:r w:rsidRPr="000728CD">
              <w:rPr>
                <w:rFonts w:asciiTheme="majorHAnsi" w:hAnsiTheme="majorHAnsi" w:cstheme="majorHAnsi"/>
              </w:rPr>
              <w:t>papel</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fisiológico</w:t>
            </w:r>
            <w:proofErr w:type="spellEnd"/>
            <w:r w:rsidRPr="000728CD">
              <w:rPr>
                <w:rFonts w:asciiTheme="majorHAnsi" w:hAnsiTheme="majorHAnsi" w:cstheme="majorHAnsi"/>
              </w:rPr>
              <w:t xml:space="preserve"> é </w:t>
            </w:r>
            <w:proofErr w:type="spellStart"/>
            <w:r w:rsidRPr="000728CD">
              <w:rPr>
                <w:rFonts w:asciiTheme="majorHAnsi" w:hAnsiTheme="majorHAnsi" w:cstheme="majorHAnsi"/>
              </w:rPr>
              <w:t>replicada</w:t>
            </w:r>
            <w:proofErr w:type="spellEnd"/>
            <w:r w:rsidRPr="000728CD">
              <w:rPr>
                <w:rFonts w:asciiTheme="majorHAnsi" w:hAnsiTheme="majorHAnsi" w:cstheme="majorHAnsi"/>
              </w:rPr>
              <w:t xml:space="preserve"> no </w:t>
            </w:r>
            <w:proofErr w:type="spellStart"/>
            <w:r w:rsidRPr="000728CD">
              <w:rPr>
                <w:rFonts w:asciiTheme="majorHAnsi" w:hAnsiTheme="majorHAnsi" w:cstheme="majorHAnsi"/>
              </w:rPr>
              <w:t>parecer</w:t>
            </w:r>
            <w:proofErr w:type="spellEnd"/>
            <w:r w:rsidRPr="000728CD">
              <w:rPr>
                <w:rFonts w:asciiTheme="majorHAnsi" w:hAnsiTheme="majorHAnsi" w:cstheme="majorHAnsi"/>
              </w:rPr>
              <w:t xml:space="preserve"> de </w:t>
            </w:r>
            <w:proofErr w:type="spellStart"/>
            <w:r w:rsidRPr="000728CD">
              <w:rPr>
                <w:rFonts w:asciiTheme="majorHAnsi" w:hAnsiTheme="majorHAnsi" w:cstheme="majorHAnsi"/>
              </w:rPr>
              <w:t>deferimento</w:t>
            </w:r>
            <w:proofErr w:type="spellEnd"/>
            <w:r w:rsidRPr="000728CD">
              <w:rPr>
                <w:rFonts w:asciiTheme="majorHAnsi" w:hAnsiTheme="majorHAnsi" w:cstheme="majorHAnsi"/>
              </w:rPr>
              <w:t xml:space="preserve"> dessas </w:t>
            </w:r>
            <w:proofErr w:type="spellStart"/>
            <w:r w:rsidRPr="000728CD">
              <w:rPr>
                <w:rFonts w:asciiTheme="majorHAnsi" w:hAnsiTheme="majorHAnsi" w:cstheme="majorHAnsi"/>
              </w:rPr>
              <w:t>substâncias</w:t>
            </w:r>
            <w:proofErr w:type="spellEnd"/>
            <w:r w:rsidRPr="000728CD">
              <w:rPr>
                <w:rFonts w:asciiTheme="majorHAnsi" w:hAnsiTheme="majorHAnsi" w:cstheme="majorHAnsi"/>
              </w:rPr>
              <w:t xml:space="preserve">, mas </w:t>
            </w:r>
            <w:proofErr w:type="spellStart"/>
            <w:r w:rsidRPr="000728CD">
              <w:rPr>
                <w:rFonts w:asciiTheme="majorHAnsi" w:hAnsiTheme="majorHAnsi" w:cstheme="majorHAnsi"/>
              </w:rPr>
              <w:t>não</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pode</w:t>
            </w:r>
            <w:proofErr w:type="spellEnd"/>
            <w:r w:rsidRPr="000728CD">
              <w:rPr>
                <w:rFonts w:asciiTheme="majorHAnsi" w:hAnsiTheme="majorHAnsi" w:cstheme="majorHAnsi"/>
              </w:rPr>
              <w:t xml:space="preserve"> ser </w:t>
            </w:r>
            <w:proofErr w:type="spellStart"/>
            <w:r w:rsidRPr="000728CD">
              <w:rPr>
                <w:rFonts w:asciiTheme="majorHAnsi" w:hAnsiTheme="majorHAnsi" w:cstheme="majorHAnsi"/>
              </w:rPr>
              <w:t>inserido</w:t>
            </w:r>
            <w:proofErr w:type="spellEnd"/>
            <w:r w:rsidRPr="000728CD">
              <w:rPr>
                <w:rFonts w:asciiTheme="majorHAnsi" w:hAnsiTheme="majorHAnsi" w:cstheme="majorHAnsi"/>
              </w:rPr>
              <w:t xml:space="preserve"> no </w:t>
            </w:r>
            <w:proofErr w:type="spellStart"/>
            <w:r w:rsidRPr="000728CD">
              <w:rPr>
                <w:rFonts w:asciiTheme="majorHAnsi" w:hAnsiTheme="majorHAnsi" w:cstheme="majorHAnsi"/>
              </w:rPr>
              <w:t>rótulo</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Embora</w:t>
            </w:r>
            <w:proofErr w:type="spellEnd"/>
            <w:r w:rsidRPr="000728CD">
              <w:rPr>
                <w:rFonts w:asciiTheme="majorHAnsi" w:hAnsiTheme="majorHAnsi" w:cstheme="majorHAnsi"/>
              </w:rPr>
              <w:t xml:space="preserve"> a </w:t>
            </w:r>
            <w:proofErr w:type="spellStart"/>
            <w:r w:rsidRPr="000728CD">
              <w:rPr>
                <w:rFonts w:asciiTheme="majorHAnsi" w:hAnsiTheme="majorHAnsi" w:cstheme="majorHAnsi"/>
              </w:rPr>
              <w:t>legislação</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defina</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alegação</w:t>
            </w:r>
            <w:proofErr w:type="spellEnd"/>
            <w:r w:rsidRPr="000728CD">
              <w:rPr>
                <w:rFonts w:asciiTheme="majorHAnsi" w:hAnsiTheme="majorHAnsi" w:cstheme="majorHAnsi"/>
              </w:rPr>
              <w:t xml:space="preserve"> de </w:t>
            </w:r>
            <w:proofErr w:type="spellStart"/>
            <w:r w:rsidRPr="000728CD">
              <w:rPr>
                <w:rFonts w:asciiTheme="majorHAnsi" w:hAnsiTheme="majorHAnsi" w:cstheme="majorHAnsi"/>
              </w:rPr>
              <w:t>propriedade</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funcional</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como</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aquela</w:t>
            </w:r>
            <w:proofErr w:type="spellEnd"/>
            <w:r w:rsidRPr="000728CD">
              <w:rPr>
                <w:rFonts w:asciiTheme="majorHAnsi" w:hAnsiTheme="majorHAnsi" w:cstheme="majorHAnsi"/>
              </w:rPr>
              <w:t xml:space="preserve"> que </w:t>
            </w:r>
            <w:proofErr w:type="spellStart"/>
            <w:r w:rsidRPr="000728CD">
              <w:rPr>
                <w:rFonts w:asciiTheme="majorHAnsi" w:hAnsiTheme="majorHAnsi" w:cstheme="majorHAnsi"/>
              </w:rPr>
              <w:t>sugira</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ou</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implique</w:t>
            </w:r>
            <w:proofErr w:type="spellEnd"/>
            <w:r w:rsidRPr="000728CD">
              <w:rPr>
                <w:rFonts w:asciiTheme="majorHAnsi" w:hAnsiTheme="majorHAnsi" w:cstheme="majorHAnsi"/>
              </w:rPr>
              <w:t xml:space="preserve"> que </w:t>
            </w:r>
            <w:proofErr w:type="spellStart"/>
            <w:r w:rsidRPr="000728CD">
              <w:rPr>
                <w:rFonts w:asciiTheme="majorHAnsi" w:hAnsiTheme="majorHAnsi" w:cstheme="majorHAnsi"/>
              </w:rPr>
              <w:t>o</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nutriente</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ou</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não</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nutriente</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tem</w:t>
            </w:r>
            <w:proofErr w:type="spellEnd"/>
            <w:r w:rsidRPr="000728CD">
              <w:rPr>
                <w:rFonts w:asciiTheme="majorHAnsi" w:hAnsiTheme="majorHAnsi" w:cstheme="majorHAnsi"/>
              </w:rPr>
              <w:t xml:space="preserve"> um </w:t>
            </w:r>
            <w:proofErr w:type="spellStart"/>
            <w:r w:rsidRPr="000728CD">
              <w:rPr>
                <w:rFonts w:asciiTheme="majorHAnsi" w:hAnsiTheme="majorHAnsi" w:cstheme="majorHAnsi"/>
              </w:rPr>
              <w:t>papel</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fisiológico</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ou</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metabólico</w:t>
            </w:r>
            <w:proofErr w:type="spellEnd"/>
            <w:r w:rsidRPr="000728CD">
              <w:rPr>
                <w:rFonts w:asciiTheme="majorHAnsi" w:hAnsiTheme="majorHAnsi" w:cstheme="majorHAnsi"/>
              </w:rPr>
              <w:t xml:space="preserve"> no </w:t>
            </w:r>
            <w:proofErr w:type="spellStart"/>
            <w:r w:rsidRPr="000728CD">
              <w:rPr>
                <w:rFonts w:asciiTheme="majorHAnsi" w:hAnsiTheme="majorHAnsi" w:cstheme="majorHAnsi"/>
              </w:rPr>
              <w:t>organismo</w:t>
            </w:r>
            <w:proofErr w:type="spellEnd"/>
            <w:r w:rsidRPr="000728CD">
              <w:rPr>
                <w:rFonts w:asciiTheme="majorHAnsi" w:hAnsiTheme="majorHAnsi" w:cstheme="majorHAnsi"/>
              </w:rPr>
              <w:t xml:space="preserve">, é </w:t>
            </w:r>
            <w:proofErr w:type="spellStart"/>
            <w:r w:rsidRPr="000728CD">
              <w:rPr>
                <w:rFonts w:asciiTheme="majorHAnsi" w:hAnsiTheme="majorHAnsi" w:cstheme="majorHAnsi"/>
              </w:rPr>
              <w:t>comum</w:t>
            </w:r>
            <w:proofErr w:type="spellEnd"/>
            <w:r w:rsidRPr="000728CD">
              <w:rPr>
                <w:rFonts w:asciiTheme="majorHAnsi" w:hAnsiTheme="majorHAnsi" w:cstheme="majorHAnsi"/>
              </w:rPr>
              <w:t xml:space="preserve"> a ANVISA </w:t>
            </w:r>
            <w:proofErr w:type="spellStart"/>
            <w:r w:rsidRPr="000728CD">
              <w:rPr>
                <w:rFonts w:asciiTheme="majorHAnsi" w:hAnsiTheme="majorHAnsi" w:cstheme="majorHAnsi"/>
              </w:rPr>
              <w:t>exigir</w:t>
            </w:r>
            <w:proofErr w:type="spellEnd"/>
            <w:r w:rsidRPr="000728CD">
              <w:rPr>
                <w:rFonts w:asciiTheme="majorHAnsi" w:hAnsiTheme="majorHAnsi" w:cstheme="majorHAnsi"/>
              </w:rPr>
              <w:t xml:space="preserve"> para </w:t>
            </w:r>
            <w:proofErr w:type="spellStart"/>
            <w:r w:rsidRPr="000728CD">
              <w:rPr>
                <w:rFonts w:asciiTheme="majorHAnsi" w:hAnsiTheme="majorHAnsi" w:cstheme="majorHAnsi"/>
              </w:rPr>
              <w:t>além</w:t>
            </w:r>
            <w:proofErr w:type="spellEnd"/>
            <w:r w:rsidRPr="000728CD">
              <w:rPr>
                <w:rFonts w:asciiTheme="majorHAnsi" w:hAnsiTheme="majorHAnsi" w:cstheme="majorHAnsi"/>
              </w:rPr>
              <w:t xml:space="preserve"> da simples </w:t>
            </w:r>
            <w:proofErr w:type="spellStart"/>
            <w:r w:rsidRPr="000728CD">
              <w:rPr>
                <w:rFonts w:asciiTheme="majorHAnsi" w:hAnsiTheme="majorHAnsi" w:cstheme="majorHAnsi"/>
              </w:rPr>
              <w:t>demonstração</w:t>
            </w:r>
            <w:proofErr w:type="spellEnd"/>
            <w:r w:rsidRPr="000728CD">
              <w:rPr>
                <w:rFonts w:asciiTheme="majorHAnsi" w:hAnsiTheme="majorHAnsi" w:cstheme="majorHAnsi"/>
              </w:rPr>
              <w:t xml:space="preserve"> do </w:t>
            </w:r>
            <w:proofErr w:type="spellStart"/>
            <w:r w:rsidRPr="000728CD">
              <w:rPr>
                <w:rFonts w:asciiTheme="majorHAnsi" w:hAnsiTheme="majorHAnsi" w:cstheme="majorHAnsi"/>
              </w:rPr>
              <w:t>papel</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fisiológico</w:t>
            </w:r>
            <w:proofErr w:type="spellEnd"/>
            <w:r w:rsidRPr="000728CD">
              <w:rPr>
                <w:rFonts w:asciiTheme="majorHAnsi" w:hAnsiTheme="majorHAnsi" w:cstheme="majorHAnsi"/>
              </w:rPr>
              <w:t xml:space="preserve"> a </w:t>
            </w:r>
            <w:proofErr w:type="spellStart"/>
            <w:r w:rsidRPr="000728CD">
              <w:rPr>
                <w:rFonts w:asciiTheme="majorHAnsi" w:hAnsiTheme="majorHAnsi" w:cstheme="majorHAnsi"/>
              </w:rPr>
              <w:t>comprova</w:t>
            </w:r>
            <w:r>
              <w:rPr>
                <w:rFonts w:asciiTheme="majorHAnsi" w:hAnsiTheme="majorHAnsi" w:cstheme="majorHAnsi"/>
              </w:rPr>
              <w:t>ção</w:t>
            </w:r>
            <w:proofErr w:type="spellEnd"/>
            <w:r>
              <w:rPr>
                <w:rFonts w:asciiTheme="majorHAnsi" w:hAnsiTheme="majorHAnsi" w:cstheme="majorHAnsi"/>
              </w:rPr>
              <w:t xml:space="preserve"> de um </w:t>
            </w:r>
            <w:proofErr w:type="spellStart"/>
            <w:r>
              <w:rPr>
                <w:rFonts w:asciiTheme="majorHAnsi" w:hAnsiTheme="majorHAnsi" w:cstheme="majorHAnsi"/>
              </w:rPr>
              <w:t>benefício</w:t>
            </w:r>
            <w:proofErr w:type="spellEnd"/>
            <w:r>
              <w:rPr>
                <w:rFonts w:asciiTheme="majorHAnsi" w:hAnsiTheme="majorHAnsi" w:cstheme="majorHAnsi"/>
              </w:rPr>
              <w:t xml:space="preserve"> </w:t>
            </w:r>
            <w:proofErr w:type="spellStart"/>
            <w:r>
              <w:rPr>
                <w:rFonts w:asciiTheme="majorHAnsi" w:hAnsiTheme="majorHAnsi" w:cstheme="majorHAnsi"/>
              </w:rPr>
              <w:t>vinculado</w:t>
            </w:r>
            <w:proofErr w:type="spellEnd"/>
            <w:r>
              <w:rPr>
                <w:rFonts w:asciiTheme="majorHAnsi" w:hAnsiTheme="majorHAnsi" w:cstheme="majorHAnsi"/>
              </w:rPr>
              <w:t>.</w:t>
            </w:r>
          </w:p>
        </w:tc>
      </w:tr>
      <w:tr w:rsidR="00330CB3" w:rsidRPr="000728CD" w14:paraId="4DE80B9E" w14:textId="224B37D7" w:rsidTr="00330CB3">
        <w:tc>
          <w:tcPr>
            <w:tcW w:w="2547" w:type="dxa"/>
          </w:tcPr>
          <w:p w14:paraId="4A83E48E" w14:textId="77777777" w:rsidR="00330CB3" w:rsidRPr="000728CD" w:rsidRDefault="00330CB3" w:rsidP="00B04C3C">
            <w:pPr>
              <w:rPr>
                <w:rFonts w:asciiTheme="majorHAnsi" w:hAnsiTheme="majorHAnsi" w:cstheme="majorHAnsi"/>
              </w:rPr>
            </w:pPr>
          </w:p>
        </w:tc>
        <w:tc>
          <w:tcPr>
            <w:tcW w:w="3544" w:type="dxa"/>
          </w:tcPr>
          <w:p w14:paraId="40E3E697" w14:textId="77777777" w:rsidR="00330CB3" w:rsidRPr="000728CD" w:rsidRDefault="00330CB3" w:rsidP="00B04C3C">
            <w:pPr>
              <w:jc w:val="both"/>
              <w:rPr>
                <w:rFonts w:asciiTheme="majorHAnsi" w:hAnsiTheme="majorHAnsi" w:cstheme="majorHAnsi"/>
              </w:rPr>
            </w:pPr>
            <w:proofErr w:type="spellStart"/>
            <w:r w:rsidRPr="000728CD">
              <w:rPr>
                <w:rFonts w:asciiTheme="majorHAnsi" w:hAnsiTheme="majorHAnsi" w:cstheme="majorHAnsi"/>
              </w:rPr>
              <w:t>Probióticos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microrganismos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vivos</w:t>
            </w:r>
            <w:proofErr w:type="spellEnd"/>
            <w:r w:rsidRPr="000728CD">
              <w:rPr>
                <w:rFonts w:asciiTheme="majorHAnsi" w:hAnsiTheme="majorHAnsi" w:cstheme="majorHAnsi"/>
              </w:rPr>
              <w:t xml:space="preserve">, que </w:t>
            </w:r>
            <w:proofErr w:type="spellStart"/>
            <w:r w:rsidRPr="000728CD">
              <w:rPr>
                <w:rFonts w:asciiTheme="majorHAnsi" w:hAnsiTheme="majorHAnsi" w:cstheme="majorHAnsi"/>
              </w:rPr>
              <w:t>quando</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administrados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em</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quantidades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adequadas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highlight w:val="yellow"/>
              </w:rPr>
              <w:t>podem</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conferir</w:t>
            </w:r>
            <w:proofErr w:type="spellEnd"/>
            <w:r w:rsidRPr="000728CD">
              <w:rPr>
                <w:rFonts w:asciiTheme="majorHAnsi" w:hAnsiTheme="majorHAnsi" w:cstheme="majorHAnsi"/>
              </w:rPr>
              <w:t xml:space="preserve"> um </w:t>
            </w:r>
            <w:proofErr w:type="spellStart"/>
            <w:r w:rsidRPr="000728CD">
              <w:rPr>
                <w:rFonts w:asciiTheme="majorHAnsi" w:hAnsiTheme="majorHAnsi" w:cstheme="majorHAnsi"/>
              </w:rPr>
              <w:t>benefício</w:t>
            </w:r>
            <w:proofErr w:type="spellEnd"/>
            <w:r w:rsidRPr="000728CD">
              <w:rPr>
                <w:rFonts w:asciiTheme="majorHAnsi" w:hAnsiTheme="majorHAnsi" w:cstheme="majorHAnsi"/>
              </w:rPr>
              <w:t xml:space="preserve"> de </w:t>
            </w:r>
            <w:proofErr w:type="spellStart"/>
            <w:r w:rsidRPr="000728CD">
              <w:rPr>
                <w:rFonts w:asciiTheme="majorHAnsi" w:hAnsiTheme="majorHAnsi" w:cstheme="majorHAnsi"/>
              </w:rPr>
              <w:t>saúde</w:t>
            </w:r>
            <w:proofErr w:type="spellEnd"/>
            <w:r w:rsidRPr="000728CD">
              <w:rPr>
                <w:rFonts w:asciiTheme="majorHAnsi" w:hAnsiTheme="majorHAnsi" w:cstheme="majorHAnsi"/>
              </w:rPr>
              <w:t>.</w:t>
            </w:r>
          </w:p>
          <w:p w14:paraId="021201E1" w14:textId="77777777" w:rsidR="00330CB3" w:rsidRPr="000728CD" w:rsidRDefault="00330CB3" w:rsidP="00B04C3C">
            <w:pPr>
              <w:jc w:val="both"/>
              <w:rPr>
                <w:rFonts w:asciiTheme="majorHAnsi" w:hAnsiTheme="majorHAnsi" w:cstheme="majorHAnsi"/>
              </w:rPr>
            </w:pPr>
            <w:proofErr w:type="spellStart"/>
            <w:r w:rsidRPr="000728CD">
              <w:rPr>
                <w:rFonts w:asciiTheme="majorHAnsi" w:hAnsiTheme="majorHAnsi" w:cstheme="majorHAnsi"/>
              </w:rPr>
              <w:t>Probióticos</w:t>
            </w:r>
            <w:proofErr w:type="spellEnd"/>
            <w:r w:rsidRPr="000728CD">
              <w:rPr>
                <w:rFonts w:asciiTheme="majorHAnsi" w:hAnsiTheme="majorHAnsi" w:cstheme="majorHAnsi"/>
              </w:rPr>
              <w:t xml:space="preserve"> “</w:t>
            </w:r>
            <w:proofErr w:type="gramStart"/>
            <w:r w:rsidRPr="000728CD">
              <w:rPr>
                <w:rFonts w:asciiTheme="majorHAnsi" w:hAnsiTheme="majorHAnsi" w:cstheme="majorHAnsi"/>
              </w:rPr>
              <w:t>a</w:t>
            </w:r>
            <w:proofErr w:type="gramEnd"/>
            <w:r w:rsidRPr="000728CD">
              <w:rPr>
                <w:rFonts w:asciiTheme="majorHAnsi" w:hAnsiTheme="majorHAnsi" w:cstheme="majorHAnsi"/>
              </w:rPr>
              <w:t xml:space="preserve"> </w:t>
            </w:r>
            <w:proofErr w:type="spellStart"/>
            <w:r w:rsidRPr="000728CD">
              <w:rPr>
                <w:rFonts w:asciiTheme="majorHAnsi" w:hAnsiTheme="majorHAnsi" w:cstheme="majorHAnsi"/>
              </w:rPr>
              <w:t>abordagem</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proposta</w:t>
            </w:r>
            <w:proofErr w:type="spellEnd"/>
            <w:r w:rsidRPr="000728CD">
              <w:rPr>
                <w:rFonts w:asciiTheme="majorHAnsi" w:hAnsiTheme="majorHAnsi" w:cstheme="majorHAnsi"/>
              </w:rPr>
              <w:t xml:space="preserve"> para </w:t>
            </w:r>
            <w:proofErr w:type="spellStart"/>
            <w:r w:rsidRPr="000728CD">
              <w:rPr>
                <w:rFonts w:asciiTheme="majorHAnsi" w:hAnsiTheme="majorHAnsi" w:cstheme="majorHAnsi"/>
              </w:rPr>
              <w:t>tratamento</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desses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componentes</w:t>
            </w:r>
            <w:proofErr w:type="spellEnd"/>
            <w:r w:rsidRPr="000728CD">
              <w:rPr>
                <w:rFonts w:asciiTheme="majorHAnsi" w:hAnsiTheme="majorHAnsi" w:cstheme="majorHAnsi"/>
              </w:rPr>
              <w:t xml:space="preserve"> visa </w:t>
            </w:r>
            <w:proofErr w:type="spellStart"/>
            <w:r w:rsidRPr="000728CD">
              <w:rPr>
                <w:rFonts w:asciiTheme="majorHAnsi" w:hAnsiTheme="majorHAnsi" w:cstheme="majorHAnsi"/>
              </w:rPr>
              <w:t>favorecer</w:t>
            </w:r>
            <w:proofErr w:type="spellEnd"/>
            <w:r w:rsidRPr="000728CD">
              <w:rPr>
                <w:rFonts w:asciiTheme="majorHAnsi" w:hAnsiTheme="majorHAnsi" w:cstheme="majorHAnsi"/>
              </w:rPr>
              <w:t xml:space="preserve"> o </w:t>
            </w:r>
            <w:proofErr w:type="spellStart"/>
            <w:r w:rsidRPr="000728CD">
              <w:rPr>
                <w:rFonts w:asciiTheme="majorHAnsi" w:hAnsiTheme="majorHAnsi" w:cstheme="majorHAnsi"/>
              </w:rPr>
              <w:t>acesso</w:t>
            </w:r>
            <w:proofErr w:type="spellEnd"/>
            <w:r w:rsidRPr="000728CD">
              <w:rPr>
                <w:rFonts w:asciiTheme="majorHAnsi" w:hAnsiTheme="majorHAnsi" w:cstheme="majorHAnsi"/>
              </w:rPr>
              <w:t xml:space="preserve"> e </w:t>
            </w:r>
            <w:proofErr w:type="spellStart"/>
            <w:r w:rsidRPr="000728CD">
              <w:rPr>
                <w:rFonts w:asciiTheme="majorHAnsi" w:hAnsiTheme="majorHAnsi" w:cstheme="majorHAnsi"/>
              </w:rPr>
              <w:t>ao</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mesmo</w:t>
            </w:r>
            <w:proofErr w:type="spellEnd"/>
            <w:r w:rsidRPr="000728CD">
              <w:rPr>
                <w:rFonts w:asciiTheme="majorHAnsi" w:hAnsiTheme="majorHAnsi" w:cstheme="majorHAnsi"/>
              </w:rPr>
              <w:t xml:space="preserve"> tempo </w:t>
            </w:r>
            <w:proofErr w:type="spellStart"/>
            <w:r w:rsidRPr="000728CD">
              <w:rPr>
                <w:rFonts w:asciiTheme="majorHAnsi" w:hAnsiTheme="majorHAnsi" w:cstheme="majorHAnsi"/>
              </w:rPr>
              <w:t>coibir</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práticas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enganosas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estabelecendo</w:t>
            </w:r>
            <w:proofErr w:type="spellEnd"/>
            <w:r w:rsidRPr="000728CD">
              <w:rPr>
                <w:rFonts w:asciiTheme="majorHAnsi" w:hAnsiTheme="majorHAnsi" w:cstheme="majorHAnsi"/>
              </w:rPr>
              <w:t xml:space="preserve">-se </w:t>
            </w:r>
            <w:proofErr w:type="spellStart"/>
            <w:r w:rsidRPr="000728CD">
              <w:rPr>
                <w:rFonts w:asciiTheme="majorHAnsi" w:hAnsiTheme="majorHAnsi" w:cstheme="majorHAnsi"/>
              </w:rPr>
              <w:t>como</w:t>
            </w:r>
            <w:proofErr w:type="spellEnd"/>
            <w:r w:rsidRPr="000728CD">
              <w:rPr>
                <w:rFonts w:asciiTheme="majorHAnsi" w:hAnsiTheme="majorHAnsi" w:cstheme="majorHAnsi"/>
              </w:rPr>
              <w:t xml:space="preserve"> patamar </w:t>
            </w:r>
            <w:proofErr w:type="spellStart"/>
            <w:r w:rsidRPr="000728CD">
              <w:rPr>
                <w:rFonts w:asciiTheme="majorHAnsi" w:hAnsiTheme="majorHAnsi" w:cstheme="majorHAnsi"/>
              </w:rPr>
              <w:t>inicial</w:t>
            </w:r>
            <w:proofErr w:type="spellEnd"/>
            <w:r w:rsidRPr="000728CD">
              <w:rPr>
                <w:rFonts w:asciiTheme="majorHAnsi" w:hAnsiTheme="majorHAnsi" w:cstheme="majorHAnsi"/>
              </w:rPr>
              <w:t xml:space="preserve"> a </w:t>
            </w:r>
            <w:proofErr w:type="spellStart"/>
            <w:r w:rsidRPr="000728CD">
              <w:rPr>
                <w:rFonts w:asciiTheme="majorHAnsi" w:hAnsiTheme="majorHAnsi" w:cstheme="majorHAnsi"/>
              </w:rPr>
              <w:t>comprovação</w:t>
            </w:r>
            <w:proofErr w:type="spellEnd"/>
            <w:r w:rsidRPr="000728CD">
              <w:rPr>
                <w:rFonts w:asciiTheme="majorHAnsi" w:hAnsiTheme="majorHAnsi" w:cstheme="majorHAnsi"/>
              </w:rPr>
              <w:t xml:space="preserve"> da </w:t>
            </w:r>
            <w:proofErr w:type="spellStart"/>
            <w:r w:rsidRPr="000728CD">
              <w:rPr>
                <w:rFonts w:asciiTheme="majorHAnsi" w:hAnsiTheme="majorHAnsi" w:cstheme="majorHAnsi"/>
              </w:rPr>
              <w:t>segurança</w:t>
            </w:r>
            <w:proofErr w:type="spellEnd"/>
            <w:r w:rsidRPr="000728CD">
              <w:rPr>
                <w:rFonts w:asciiTheme="majorHAnsi" w:hAnsiTheme="majorHAnsi" w:cstheme="majorHAnsi"/>
              </w:rPr>
              <w:t xml:space="preserve"> </w:t>
            </w:r>
            <w:r w:rsidRPr="000728CD">
              <w:rPr>
                <w:rFonts w:asciiTheme="majorHAnsi" w:hAnsiTheme="majorHAnsi" w:cstheme="majorHAnsi"/>
              </w:rPr>
              <w:lastRenderedPageBreak/>
              <w:t xml:space="preserve">de </w:t>
            </w:r>
            <w:proofErr w:type="spellStart"/>
            <w:r w:rsidRPr="000728CD">
              <w:rPr>
                <w:rFonts w:asciiTheme="majorHAnsi" w:hAnsiTheme="majorHAnsi" w:cstheme="majorHAnsi"/>
              </w:rPr>
              <w:t>uso</w:t>
            </w:r>
            <w:proofErr w:type="spellEnd"/>
            <w:r w:rsidRPr="000728CD">
              <w:rPr>
                <w:rFonts w:asciiTheme="majorHAnsi" w:hAnsiTheme="majorHAnsi" w:cstheme="majorHAnsi"/>
              </w:rPr>
              <w:t xml:space="preserve"> e a </w:t>
            </w:r>
            <w:proofErr w:type="spellStart"/>
            <w:r w:rsidRPr="000728CD">
              <w:rPr>
                <w:rFonts w:asciiTheme="majorHAnsi" w:hAnsiTheme="majorHAnsi" w:cstheme="majorHAnsi"/>
              </w:rPr>
              <w:t>demonstração</w:t>
            </w:r>
            <w:proofErr w:type="spellEnd"/>
            <w:r w:rsidRPr="000728CD">
              <w:rPr>
                <w:rFonts w:asciiTheme="majorHAnsi" w:hAnsiTheme="majorHAnsi" w:cstheme="majorHAnsi"/>
              </w:rPr>
              <w:t xml:space="preserve"> do </w:t>
            </w:r>
            <w:proofErr w:type="spellStart"/>
            <w:r w:rsidRPr="000728CD">
              <w:rPr>
                <w:rFonts w:asciiTheme="majorHAnsi" w:hAnsiTheme="majorHAnsi" w:cstheme="majorHAnsi"/>
              </w:rPr>
              <w:t>potencial</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efeito</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benéfico</w:t>
            </w:r>
            <w:proofErr w:type="spellEnd"/>
            <w:r w:rsidRPr="000728CD">
              <w:rPr>
                <w:rFonts w:asciiTheme="majorHAnsi" w:hAnsiTheme="majorHAnsi" w:cstheme="majorHAnsi"/>
              </w:rPr>
              <w:t>.”</w:t>
            </w:r>
          </w:p>
        </w:tc>
        <w:tc>
          <w:tcPr>
            <w:tcW w:w="3827" w:type="dxa"/>
          </w:tcPr>
          <w:p w14:paraId="07DED21C" w14:textId="77777777" w:rsidR="00330CB3" w:rsidRPr="000728CD" w:rsidRDefault="00330CB3" w:rsidP="00B04C3C">
            <w:pPr>
              <w:jc w:val="both"/>
              <w:rPr>
                <w:rFonts w:asciiTheme="majorHAnsi" w:hAnsiTheme="majorHAnsi" w:cstheme="majorHAnsi"/>
              </w:rPr>
            </w:pPr>
            <w:proofErr w:type="gramStart"/>
            <w:r w:rsidRPr="000728CD">
              <w:rPr>
                <w:rFonts w:asciiTheme="majorHAnsi" w:hAnsiTheme="majorHAnsi" w:cstheme="majorHAnsi"/>
              </w:rPr>
              <w:lastRenderedPageBreak/>
              <w:t>A</w:t>
            </w:r>
            <w:proofErr w:type="gramEnd"/>
            <w:r w:rsidRPr="000728CD">
              <w:rPr>
                <w:rFonts w:asciiTheme="majorHAnsi" w:hAnsiTheme="majorHAnsi" w:cstheme="majorHAnsi"/>
              </w:rPr>
              <w:t xml:space="preserve"> </w:t>
            </w:r>
            <w:proofErr w:type="spellStart"/>
            <w:r w:rsidRPr="000728CD">
              <w:rPr>
                <w:rFonts w:asciiTheme="majorHAnsi" w:hAnsiTheme="majorHAnsi" w:cstheme="majorHAnsi"/>
              </w:rPr>
              <w:t>abordagem</w:t>
            </w:r>
            <w:proofErr w:type="spellEnd"/>
            <w:r w:rsidRPr="000728CD">
              <w:rPr>
                <w:rFonts w:asciiTheme="majorHAnsi" w:hAnsiTheme="majorHAnsi" w:cstheme="majorHAnsi"/>
              </w:rPr>
              <w:t xml:space="preserve"> do </w:t>
            </w:r>
            <w:proofErr w:type="spellStart"/>
            <w:r w:rsidRPr="000728CD">
              <w:rPr>
                <w:rFonts w:asciiTheme="majorHAnsi" w:hAnsiTheme="majorHAnsi" w:cstheme="majorHAnsi"/>
              </w:rPr>
              <w:t>documento</w:t>
            </w:r>
            <w:proofErr w:type="spellEnd"/>
            <w:r w:rsidRPr="000728CD">
              <w:rPr>
                <w:rFonts w:asciiTheme="majorHAnsi" w:hAnsiTheme="majorHAnsi" w:cstheme="majorHAnsi"/>
              </w:rPr>
              <w:t xml:space="preserve"> de 2017 </w:t>
            </w:r>
            <w:proofErr w:type="spellStart"/>
            <w:r w:rsidRPr="000728CD">
              <w:rPr>
                <w:rFonts w:asciiTheme="majorHAnsi" w:hAnsiTheme="majorHAnsi" w:cstheme="majorHAnsi"/>
              </w:rPr>
              <w:t>não</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foi</w:t>
            </w:r>
            <w:proofErr w:type="spellEnd"/>
            <w:r w:rsidRPr="000728CD">
              <w:rPr>
                <w:rFonts w:asciiTheme="majorHAnsi" w:hAnsiTheme="majorHAnsi" w:cstheme="majorHAnsi"/>
              </w:rPr>
              <w:t xml:space="preserve"> a </w:t>
            </w:r>
            <w:proofErr w:type="spellStart"/>
            <w:r w:rsidRPr="000728CD">
              <w:rPr>
                <w:rFonts w:asciiTheme="majorHAnsi" w:hAnsiTheme="majorHAnsi" w:cstheme="majorHAnsi"/>
              </w:rPr>
              <w:t>frente</w:t>
            </w:r>
            <w:proofErr w:type="spellEnd"/>
            <w:r w:rsidRPr="000728CD">
              <w:rPr>
                <w:rFonts w:asciiTheme="majorHAnsi" w:hAnsiTheme="majorHAnsi" w:cstheme="majorHAnsi"/>
              </w:rPr>
              <w:t xml:space="preserve">. Nos </w:t>
            </w:r>
            <w:proofErr w:type="spellStart"/>
            <w:r w:rsidRPr="000728CD">
              <w:rPr>
                <w:rFonts w:asciiTheme="majorHAnsi" w:hAnsiTheme="majorHAnsi" w:cstheme="majorHAnsi"/>
              </w:rPr>
              <w:t>documentos</w:t>
            </w:r>
            <w:proofErr w:type="spellEnd"/>
            <w:r w:rsidRPr="000728CD">
              <w:rPr>
                <w:rFonts w:asciiTheme="majorHAnsi" w:hAnsiTheme="majorHAnsi" w:cstheme="majorHAnsi"/>
              </w:rPr>
              <w:t xml:space="preserve"> que </w:t>
            </w:r>
            <w:proofErr w:type="spellStart"/>
            <w:r w:rsidRPr="000728CD">
              <w:rPr>
                <w:rFonts w:asciiTheme="majorHAnsi" w:hAnsiTheme="majorHAnsi" w:cstheme="majorHAnsi"/>
              </w:rPr>
              <w:t>sucederam</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às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discussões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houve</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adoção</w:t>
            </w:r>
            <w:proofErr w:type="spellEnd"/>
            <w:r w:rsidRPr="000728CD">
              <w:rPr>
                <w:rFonts w:asciiTheme="majorHAnsi" w:hAnsiTheme="majorHAnsi" w:cstheme="majorHAnsi"/>
              </w:rPr>
              <w:t xml:space="preserve"> de </w:t>
            </w:r>
            <w:proofErr w:type="spellStart"/>
            <w:r w:rsidRPr="000728CD">
              <w:rPr>
                <w:rFonts w:asciiTheme="majorHAnsi" w:hAnsiTheme="majorHAnsi" w:cstheme="majorHAnsi"/>
              </w:rPr>
              <w:t>critérios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mais</w:t>
            </w:r>
            <w:proofErr w:type="spellEnd"/>
            <w:r w:rsidRPr="000728CD">
              <w:rPr>
                <w:rFonts w:asciiTheme="majorHAnsi" w:hAnsiTheme="majorHAnsi" w:cstheme="majorHAnsi"/>
              </w:rPr>
              <w:t xml:space="preserve"> </w:t>
            </w:r>
            <w:proofErr w:type="spellStart"/>
            <w:r w:rsidRPr="000728CD">
              <w:rPr>
                <w:rFonts w:asciiTheme="majorHAnsi" w:hAnsiTheme="majorHAnsi" w:cstheme="majorHAnsi"/>
              </w:rPr>
              <w:t>rígidos</w:t>
            </w:r>
            <w:proofErr w:type="spellEnd"/>
            <w:r w:rsidRPr="000728CD">
              <w:rPr>
                <w:rFonts w:asciiTheme="majorHAnsi" w:hAnsiTheme="majorHAnsi" w:cstheme="majorHAnsi"/>
              </w:rPr>
              <w:t xml:space="preserve"> com </w:t>
            </w:r>
            <w:proofErr w:type="spellStart"/>
            <w:r w:rsidRPr="000728CD">
              <w:rPr>
                <w:rFonts w:asciiTheme="majorHAnsi" w:hAnsiTheme="majorHAnsi" w:cstheme="majorHAnsi"/>
              </w:rPr>
              <w:t>necessidade</w:t>
            </w:r>
            <w:proofErr w:type="spellEnd"/>
            <w:r w:rsidRPr="000728CD">
              <w:rPr>
                <w:rFonts w:asciiTheme="majorHAnsi" w:hAnsiTheme="majorHAnsi" w:cstheme="majorHAnsi"/>
              </w:rPr>
              <w:t xml:space="preserve"> de </w:t>
            </w:r>
            <w:proofErr w:type="spellStart"/>
            <w:r w:rsidRPr="000728CD">
              <w:rPr>
                <w:rFonts w:asciiTheme="majorHAnsi" w:hAnsiTheme="majorHAnsi" w:cstheme="majorHAnsi"/>
              </w:rPr>
              <w:t>comprovação</w:t>
            </w:r>
            <w:proofErr w:type="spellEnd"/>
            <w:r w:rsidRPr="000728CD">
              <w:rPr>
                <w:rFonts w:asciiTheme="majorHAnsi" w:hAnsiTheme="majorHAnsi" w:cstheme="majorHAnsi"/>
              </w:rPr>
              <w:t xml:space="preserve"> de um real </w:t>
            </w:r>
            <w:proofErr w:type="spellStart"/>
            <w:r w:rsidRPr="000728CD">
              <w:rPr>
                <w:rFonts w:asciiTheme="majorHAnsi" w:hAnsiTheme="majorHAnsi" w:cstheme="majorHAnsi"/>
              </w:rPr>
              <w:t>benefício</w:t>
            </w:r>
            <w:proofErr w:type="spellEnd"/>
            <w:r w:rsidRPr="000728CD">
              <w:rPr>
                <w:rFonts w:asciiTheme="majorHAnsi" w:hAnsiTheme="majorHAnsi" w:cstheme="majorHAnsi"/>
              </w:rPr>
              <w:t xml:space="preserve">. </w:t>
            </w:r>
          </w:p>
        </w:tc>
        <w:tc>
          <w:tcPr>
            <w:tcW w:w="3544" w:type="dxa"/>
          </w:tcPr>
          <w:p w14:paraId="0A2F2696" w14:textId="77777777" w:rsidR="00330CB3" w:rsidRPr="000728CD" w:rsidRDefault="00330CB3" w:rsidP="00B04C3C">
            <w:pPr>
              <w:rPr>
                <w:rFonts w:asciiTheme="majorHAnsi" w:hAnsiTheme="majorHAnsi" w:cstheme="majorHAnsi"/>
              </w:rPr>
            </w:pPr>
          </w:p>
        </w:tc>
      </w:tr>
      <w:tr w:rsidR="00330CB3" w:rsidRPr="000728CD" w14:paraId="5793BAB5" w14:textId="27B6FD7C" w:rsidTr="00330CB3">
        <w:tc>
          <w:tcPr>
            <w:tcW w:w="2547" w:type="dxa"/>
          </w:tcPr>
          <w:p w14:paraId="5A1293C0" w14:textId="77777777" w:rsidR="00330CB3" w:rsidRPr="00330CB3" w:rsidRDefault="00330CB3" w:rsidP="00B04C3C">
            <w:pPr>
              <w:rPr>
                <w:rFonts w:asciiTheme="majorHAnsi" w:hAnsiTheme="majorHAnsi" w:cstheme="majorHAnsi"/>
                <w:b/>
              </w:rPr>
            </w:pPr>
            <w:r w:rsidRPr="00330CB3">
              <w:rPr>
                <w:rFonts w:asciiTheme="majorHAnsi" w:hAnsiTheme="majorHAnsi" w:cstheme="majorHAnsi"/>
                <w:b/>
              </w:rPr>
              <w:t>PROBIÓTICOS</w:t>
            </w:r>
          </w:p>
        </w:tc>
        <w:tc>
          <w:tcPr>
            <w:tcW w:w="3544" w:type="dxa"/>
          </w:tcPr>
          <w:p w14:paraId="15BB2084" w14:textId="77777777" w:rsidR="00330CB3" w:rsidRPr="000728CD" w:rsidRDefault="00330CB3" w:rsidP="00B04C3C">
            <w:pPr>
              <w:rPr>
                <w:rFonts w:asciiTheme="majorHAnsi" w:hAnsiTheme="majorHAnsi" w:cstheme="majorHAnsi"/>
              </w:rPr>
            </w:pPr>
          </w:p>
        </w:tc>
        <w:tc>
          <w:tcPr>
            <w:tcW w:w="3827" w:type="dxa"/>
          </w:tcPr>
          <w:p w14:paraId="46DB33C8" w14:textId="77777777" w:rsidR="00330CB3" w:rsidRPr="000728CD" w:rsidRDefault="00330CB3" w:rsidP="00B04C3C">
            <w:pPr>
              <w:rPr>
                <w:rFonts w:asciiTheme="majorHAnsi" w:hAnsiTheme="majorHAnsi" w:cstheme="majorHAnsi"/>
              </w:rPr>
            </w:pPr>
          </w:p>
        </w:tc>
        <w:tc>
          <w:tcPr>
            <w:tcW w:w="3544" w:type="dxa"/>
          </w:tcPr>
          <w:p w14:paraId="625E529A" w14:textId="77777777" w:rsidR="00330CB3" w:rsidRPr="000728CD" w:rsidRDefault="00330CB3" w:rsidP="00B04C3C">
            <w:pPr>
              <w:rPr>
                <w:rFonts w:asciiTheme="majorHAnsi" w:hAnsiTheme="majorHAnsi" w:cstheme="majorHAnsi"/>
              </w:rPr>
            </w:pPr>
          </w:p>
        </w:tc>
      </w:tr>
      <w:tr w:rsidR="00330CB3" w:rsidRPr="000728CD" w14:paraId="58780AE7" w14:textId="29A5B9AD" w:rsidTr="00330CB3">
        <w:trPr>
          <w:trHeight w:val="2344"/>
        </w:trPr>
        <w:tc>
          <w:tcPr>
            <w:tcW w:w="2547" w:type="dxa"/>
          </w:tcPr>
          <w:p w14:paraId="596E86A5" w14:textId="77777777" w:rsidR="00330CB3" w:rsidRPr="000728CD" w:rsidRDefault="00330CB3" w:rsidP="00B04C3C">
            <w:pPr>
              <w:jc w:val="both"/>
              <w:rPr>
                <w:rFonts w:asciiTheme="majorHAnsi" w:hAnsiTheme="majorHAnsi" w:cstheme="majorHAnsi"/>
              </w:rPr>
            </w:pPr>
            <w:r w:rsidRPr="000728CD">
              <w:rPr>
                <w:rFonts w:asciiTheme="majorHAnsi" w:hAnsiTheme="majorHAnsi" w:cstheme="majorHAnsi"/>
                <w:noProof/>
                <w:lang w:eastAsia="pt-BR"/>
              </w:rPr>
              <w:drawing>
                <wp:inline distT="0" distB="0" distL="0" distR="0" wp14:anchorId="495BCC78" wp14:editId="61BFFFBE">
                  <wp:extent cx="2286000" cy="14301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860" cy="1436293"/>
                          </a:xfrm>
                          <a:prstGeom prst="rect">
                            <a:avLst/>
                          </a:prstGeom>
                          <a:noFill/>
                          <a:ln>
                            <a:noFill/>
                          </a:ln>
                        </pic:spPr>
                      </pic:pic>
                    </a:graphicData>
                  </a:graphic>
                </wp:inline>
              </w:drawing>
            </w:r>
          </w:p>
        </w:tc>
        <w:tc>
          <w:tcPr>
            <w:tcW w:w="3544" w:type="dxa"/>
          </w:tcPr>
          <w:p w14:paraId="0030606E" w14:textId="77777777" w:rsidR="00330CB3" w:rsidRDefault="00330CB3" w:rsidP="00B04C3C">
            <w:pPr>
              <w:autoSpaceDE w:val="0"/>
              <w:autoSpaceDN w:val="0"/>
              <w:adjustRightInd w:val="0"/>
              <w:jc w:val="both"/>
              <w:rPr>
                <w:rFonts w:asciiTheme="majorHAnsi" w:hAnsiTheme="majorHAnsi" w:cstheme="majorHAnsi"/>
                <w:i/>
                <w:iCs/>
              </w:rPr>
            </w:pPr>
            <w:proofErr w:type="spellStart"/>
            <w:r w:rsidRPr="00260486">
              <w:rPr>
                <w:rFonts w:asciiTheme="majorHAnsi" w:hAnsiTheme="majorHAnsi" w:cstheme="majorHAnsi"/>
                <w:i/>
                <w:iCs/>
              </w:rPr>
              <w:t>Trecho</w:t>
            </w:r>
            <w:proofErr w:type="spellEnd"/>
            <w:r w:rsidRPr="00260486">
              <w:rPr>
                <w:rFonts w:asciiTheme="majorHAnsi" w:hAnsiTheme="majorHAnsi" w:cstheme="majorHAnsi"/>
                <w:i/>
                <w:iCs/>
              </w:rPr>
              <w:t xml:space="preserve"> da </w:t>
            </w:r>
            <w:proofErr w:type="spellStart"/>
            <w:r w:rsidRPr="00260486">
              <w:rPr>
                <w:rFonts w:asciiTheme="majorHAnsi" w:hAnsiTheme="majorHAnsi" w:cstheme="majorHAnsi"/>
                <w:i/>
                <w:iCs/>
              </w:rPr>
              <w:t>ata</w:t>
            </w:r>
            <w:proofErr w:type="spellEnd"/>
            <w:r w:rsidRPr="00260486">
              <w:rPr>
                <w:rFonts w:asciiTheme="majorHAnsi" w:hAnsiTheme="majorHAnsi" w:cstheme="majorHAnsi"/>
                <w:i/>
                <w:iCs/>
              </w:rPr>
              <w:t>: Ela</w:t>
            </w:r>
            <w:r>
              <w:rPr>
                <w:rFonts w:asciiTheme="majorHAnsi" w:hAnsiTheme="majorHAnsi" w:cstheme="majorHAnsi"/>
                <w:i/>
                <w:iCs/>
              </w:rPr>
              <w:t>*</w:t>
            </w:r>
            <w:r w:rsidRPr="00260486">
              <w:rPr>
                <w:rFonts w:asciiTheme="majorHAnsi" w:hAnsiTheme="majorHAnsi" w:cstheme="majorHAnsi"/>
                <w:i/>
                <w:iCs/>
              </w:rPr>
              <w:t xml:space="preserve"> </w:t>
            </w:r>
            <w:proofErr w:type="spellStart"/>
            <w:r w:rsidRPr="00260486">
              <w:rPr>
                <w:rFonts w:asciiTheme="majorHAnsi" w:hAnsiTheme="majorHAnsi" w:cstheme="majorHAnsi"/>
                <w:i/>
                <w:iCs/>
              </w:rPr>
              <w:t>explicou</w:t>
            </w:r>
            <w:proofErr w:type="spellEnd"/>
            <w:r w:rsidRPr="00260486">
              <w:rPr>
                <w:rFonts w:asciiTheme="majorHAnsi" w:hAnsiTheme="majorHAnsi" w:cstheme="majorHAnsi"/>
                <w:i/>
                <w:iCs/>
              </w:rPr>
              <w:t xml:space="preserve"> que, no </w:t>
            </w:r>
            <w:proofErr w:type="spellStart"/>
            <w:r w:rsidRPr="00260486">
              <w:rPr>
                <w:rFonts w:asciiTheme="majorHAnsi" w:hAnsiTheme="majorHAnsi" w:cstheme="majorHAnsi"/>
                <w:i/>
                <w:iCs/>
              </w:rPr>
              <w:t>início</w:t>
            </w:r>
            <w:proofErr w:type="spellEnd"/>
            <w:r w:rsidRPr="00260486">
              <w:rPr>
                <w:rFonts w:asciiTheme="majorHAnsi" w:hAnsiTheme="majorHAnsi" w:cstheme="majorHAnsi"/>
                <w:i/>
                <w:iCs/>
              </w:rPr>
              <w:t xml:space="preserve"> da </w:t>
            </w:r>
            <w:proofErr w:type="spellStart"/>
            <w:r w:rsidRPr="00260486">
              <w:rPr>
                <w:rFonts w:asciiTheme="majorHAnsi" w:hAnsiTheme="majorHAnsi" w:cstheme="majorHAnsi"/>
                <w:i/>
                <w:iCs/>
              </w:rPr>
              <w:t>parceria</w:t>
            </w:r>
            <w:proofErr w:type="spellEnd"/>
            <w:r w:rsidRPr="00260486">
              <w:rPr>
                <w:rFonts w:asciiTheme="majorHAnsi" w:hAnsiTheme="majorHAnsi" w:cstheme="majorHAnsi"/>
                <w:i/>
                <w:iCs/>
              </w:rPr>
              <w:t xml:space="preserve"> com a </w:t>
            </w:r>
            <w:proofErr w:type="spellStart"/>
            <w:r w:rsidRPr="00260486">
              <w:rPr>
                <w:rFonts w:asciiTheme="majorHAnsi" w:hAnsiTheme="majorHAnsi" w:cstheme="majorHAnsi"/>
                <w:i/>
                <w:iCs/>
              </w:rPr>
              <w:t>Anvisa</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houve</w:t>
            </w:r>
            <w:proofErr w:type="spellEnd"/>
            <w:r w:rsidRPr="00260486">
              <w:rPr>
                <w:rFonts w:asciiTheme="majorHAnsi" w:hAnsiTheme="majorHAnsi" w:cstheme="majorHAnsi"/>
                <w:i/>
                <w:iCs/>
              </w:rPr>
              <w:t xml:space="preserve"> um </w:t>
            </w:r>
            <w:proofErr w:type="spellStart"/>
            <w:r w:rsidRPr="00260486">
              <w:rPr>
                <w:rFonts w:asciiTheme="majorHAnsi" w:hAnsiTheme="majorHAnsi" w:cstheme="majorHAnsi"/>
                <w:i/>
                <w:iCs/>
              </w:rPr>
              <w:t>alinhamento</w:t>
            </w:r>
            <w:proofErr w:type="spellEnd"/>
            <w:r w:rsidRPr="00260486">
              <w:rPr>
                <w:rFonts w:asciiTheme="majorHAnsi" w:hAnsiTheme="majorHAnsi" w:cstheme="majorHAnsi"/>
                <w:i/>
                <w:iCs/>
              </w:rPr>
              <w:t xml:space="preserve"> para </w:t>
            </w:r>
            <w:proofErr w:type="spellStart"/>
            <w:r w:rsidRPr="00260486">
              <w:rPr>
                <w:rFonts w:asciiTheme="majorHAnsi" w:hAnsiTheme="majorHAnsi" w:cstheme="majorHAnsi"/>
                <w:i/>
                <w:iCs/>
              </w:rPr>
              <w:t>entender</w:t>
            </w:r>
            <w:proofErr w:type="spellEnd"/>
            <w:r w:rsidRPr="00260486">
              <w:rPr>
                <w:rFonts w:asciiTheme="majorHAnsi" w:hAnsiTheme="majorHAnsi" w:cstheme="majorHAnsi"/>
                <w:i/>
                <w:iCs/>
              </w:rPr>
              <w:t xml:space="preserve"> a </w:t>
            </w:r>
            <w:proofErr w:type="spellStart"/>
            <w:r w:rsidRPr="00260486">
              <w:rPr>
                <w:rFonts w:asciiTheme="majorHAnsi" w:hAnsiTheme="majorHAnsi" w:cstheme="majorHAnsi"/>
                <w:i/>
                <w:iCs/>
              </w:rPr>
              <w:t>diferença</w:t>
            </w:r>
            <w:proofErr w:type="spellEnd"/>
            <w:r w:rsidRPr="00260486">
              <w:rPr>
                <w:rFonts w:asciiTheme="majorHAnsi" w:hAnsiTheme="majorHAnsi" w:cstheme="majorHAnsi"/>
                <w:i/>
                <w:iCs/>
              </w:rPr>
              <w:t xml:space="preserve"> de </w:t>
            </w:r>
            <w:proofErr w:type="spellStart"/>
            <w:r w:rsidRPr="00260486">
              <w:rPr>
                <w:rFonts w:asciiTheme="majorHAnsi" w:hAnsiTheme="majorHAnsi" w:cstheme="majorHAnsi"/>
                <w:i/>
                <w:iCs/>
              </w:rPr>
              <w:t>abordagem</w:t>
            </w:r>
            <w:proofErr w:type="spellEnd"/>
            <w:r w:rsidRPr="00260486">
              <w:rPr>
                <w:rFonts w:asciiTheme="majorHAnsi" w:hAnsiTheme="majorHAnsi" w:cstheme="majorHAnsi"/>
                <w:i/>
                <w:iCs/>
              </w:rPr>
              <w:t xml:space="preserve"> que </w:t>
            </w:r>
            <w:proofErr w:type="spellStart"/>
            <w:r w:rsidRPr="00260486">
              <w:rPr>
                <w:rFonts w:asciiTheme="majorHAnsi" w:hAnsiTheme="majorHAnsi" w:cstheme="majorHAnsi"/>
                <w:i/>
                <w:iCs/>
              </w:rPr>
              <w:t>deveria</w:t>
            </w:r>
            <w:proofErr w:type="spellEnd"/>
            <w:r w:rsidRPr="00260486">
              <w:rPr>
                <w:rFonts w:asciiTheme="majorHAnsi" w:hAnsiTheme="majorHAnsi" w:cstheme="majorHAnsi"/>
                <w:i/>
                <w:iCs/>
              </w:rPr>
              <w:t xml:space="preserve"> ser dada e as </w:t>
            </w:r>
            <w:proofErr w:type="spellStart"/>
            <w:r w:rsidRPr="00260486">
              <w:rPr>
                <w:rFonts w:asciiTheme="majorHAnsi" w:hAnsiTheme="majorHAnsi" w:cstheme="majorHAnsi"/>
                <w:i/>
                <w:iCs/>
              </w:rPr>
              <w:t>convergências</w:t>
            </w:r>
            <w:proofErr w:type="spellEnd"/>
            <w:r w:rsidRPr="00260486">
              <w:rPr>
                <w:rFonts w:asciiTheme="majorHAnsi" w:hAnsiTheme="majorHAnsi" w:cstheme="majorHAnsi"/>
                <w:i/>
                <w:iCs/>
              </w:rPr>
              <w:t xml:space="preserve"> entre </w:t>
            </w:r>
            <w:proofErr w:type="spellStart"/>
            <w:r w:rsidRPr="00260486">
              <w:rPr>
                <w:rFonts w:asciiTheme="majorHAnsi" w:hAnsiTheme="majorHAnsi" w:cstheme="majorHAnsi"/>
                <w:i/>
                <w:iCs/>
              </w:rPr>
              <w:t>esses</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dois</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processos</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fundamentação</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científica</w:t>
            </w:r>
            <w:proofErr w:type="spellEnd"/>
            <w:r w:rsidRPr="00260486">
              <w:rPr>
                <w:rFonts w:asciiTheme="majorHAnsi" w:hAnsiTheme="majorHAnsi" w:cstheme="majorHAnsi"/>
                <w:i/>
                <w:iCs/>
              </w:rPr>
              <w:t xml:space="preserve"> e </w:t>
            </w:r>
            <w:proofErr w:type="spellStart"/>
            <w:r w:rsidRPr="00260486">
              <w:rPr>
                <w:rFonts w:asciiTheme="majorHAnsi" w:hAnsiTheme="majorHAnsi" w:cstheme="majorHAnsi"/>
                <w:b/>
                <w:bCs/>
                <w:i/>
                <w:iCs/>
              </w:rPr>
              <w:t>definição</w:t>
            </w:r>
            <w:proofErr w:type="spellEnd"/>
            <w:r w:rsidRPr="00260486">
              <w:rPr>
                <w:rFonts w:asciiTheme="majorHAnsi" w:hAnsiTheme="majorHAnsi" w:cstheme="majorHAnsi"/>
                <w:b/>
                <w:bCs/>
                <w:i/>
                <w:iCs/>
              </w:rPr>
              <w:t xml:space="preserve"> de </w:t>
            </w:r>
            <w:proofErr w:type="spellStart"/>
            <w:r w:rsidRPr="00260486">
              <w:rPr>
                <w:rFonts w:asciiTheme="majorHAnsi" w:hAnsiTheme="majorHAnsi" w:cstheme="majorHAnsi"/>
                <w:b/>
                <w:bCs/>
                <w:i/>
                <w:iCs/>
              </w:rPr>
              <w:t>critérios</w:t>
            </w:r>
            <w:proofErr w:type="spellEnd"/>
            <w:r w:rsidRPr="00260486">
              <w:rPr>
                <w:rFonts w:asciiTheme="majorHAnsi" w:hAnsiTheme="majorHAnsi" w:cstheme="majorHAnsi"/>
                <w:b/>
                <w:bCs/>
                <w:i/>
                <w:iCs/>
              </w:rPr>
              <w:t xml:space="preserve"> </w:t>
            </w:r>
            <w:proofErr w:type="spellStart"/>
            <w:r w:rsidRPr="00260486">
              <w:rPr>
                <w:rFonts w:asciiTheme="majorHAnsi" w:hAnsiTheme="majorHAnsi" w:cstheme="majorHAnsi"/>
                <w:b/>
                <w:bCs/>
                <w:i/>
                <w:iCs/>
              </w:rPr>
              <w:t>mais</w:t>
            </w:r>
            <w:proofErr w:type="spellEnd"/>
            <w:r w:rsidRPr="00260486">
              <w:rPr>
                <w:rFonts w:asciiTheme="majorHAnsi" w:hAnsiTheme="majorHAnsi" w:cstheme="majorHAnsi"/>
                <w:b/>
                <w:bCs/>
                <w:i/>
                <w:iCs/>
              </w:rPr>
              <w:t xml:space="preserve"> </w:t>
            </w:r>
            <w:proofErr w:type="spellStart"/>
            <w:r w:rsidRPr="00260486">
              <w:rPr>
                <w:rFonts w:asciiTheme="majorHAnsi" w:hAnsiTheme="majorHAnsi" w:cstheme="majorHAnsi"/>
                <w:b/>
                <w:bCs/>
                <w:i/>
                <w:iCs/>
              </w:rPr>
              <w:t>objetivos</w:t>
            </w:r>
            <w:proofErr w:type="spellEnd"/>
            <w:r w:rsidRPr="00260486">
              <w:rPr>
                <w:rFonts w:asciiTheme="majorHAnsi" w:hAnsiTheme="majorHAnsi" w:cstheme="majorHAnsi"/>
                <w:b/>
                <w:bCs/>
                <w:i/>
                <w:iCs/>
              </w:rPr>
              <w:t xml:space="preserve"> para a </w:t>
            </w:r>
            <w:proofErr w:type="spellStart"/>
            <w:r w:rsidRPr="00260486">
              <w:rPr>
                <w:rFonts w:asciiTheme="majorHAnsi" w:hAnsiTheme="majorHAnsi" w:cstheme="majorHAnsi"/>
                <w:b/>
                <w:bCs/>
                <w:i/>
                <w:iCs/>
              </w:rPr>
              <w:t>conclusão</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Foi</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reforçado</w:t>
            </w:r>
            <w:proofErr w:type="spellEnd"/>
            <w:r w:rsidRPr="00260486">
              <w:rPr>
                <w:rFonts w:asciiTheme="majorHAnsi" w:hAnsiTheme="majorHAnsi" w:cstheme="majorHAnsi"/>
                <w:i/>
                <w:iCs/>
              </w:rPr>
              <w:t xml:space="preserve">, por </w:t>
            </w:r>
            <w:proofErr w:type="spellStart"/>
            <w:r w:rsidRPr="00260486">
              <w:rPr>
                <w:rFonts w:asciiTheme="majorHAnsi" w:hAnsiTheme="majorHAnsi" w:cstheme="majorHAnsi"/>
                <w:i/>
                <w:iCs/>
              </w:rPr>
              <w:t>fim</w:t>
            </w:r>
            <w:proofErr w:type="spellEnd"/>
            <w:r w:rsidRPr="00260486">
              <w:rPr>
                <w:rFonts w:asciiTheme="majorHAnsi" w:hAnsiTheme="majorHAnsi" w:cstheme="majorHAnsi"/>
                <w:i/>
                <w:iCs/>
              </w:rPr>
              <w:t xml:space="preserve">, </w:t>
            </w:r>
            <w:proofErr w:type="gramStart"/>
            <w:r w:rsidRPr="00260486">
              <w:rPr>
                <w:rFonts w:asciiTheme="majorHAnsi" w:hAnsiTheme="majorHAnsi" w:cstheme="majorHAnsi"/>
                <w:i/>
                <w:iCs/>
              </w:rPr>
              <w:t>a</w:t>
            </w:r>
            <w:proofErr w:type="gramEnd"/>
            <w:r w:rsidRPr="00260486">
              <w:rPr>
                <w:rFonts w:asciiTheme="majorHAnsi" w:hAnsiTheme="majorHAnsi" w:cstheme="majorHAnsi"/>
                <w:i/>
                <w:iCs/>
              </w:rPr>
              <w:t xml:space="preserve"> </w:t>
            </w:r>
            <w:proofErr w:type="spellStart"/>
            <w:r w:rsidRPr="00260486">
              <w:rPr>
                <w:rFonts w:asciiTheme="majorHAnsi" w:hAnsiTheme="majorHAnsi" w:cstheme="majorHAnsi"/>
                <w:i/>
                <w:iCs/>
              </w:rPr>
              <w:t>importância</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desse</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b/>
                <w:bCs/>
                <w:i/>
                <w:iCs/>
              </w:rPr>
              <w:t>processo</w:t>
            </w:r>
            <w:proofErr w:type="spellEnd"/>
            <w:r w:rsidRPr="00260486">
              <w:rPr>
                <w:rFonts w:asciiTheme="majorHAnsi" w:hAnsiTheme="majorHAnsi" w:cstheme="majorHAnsi"/>
                <w:b/>
                <w:bCs/>
                <w:i/>
                <w:iCs/>
              </w:rPr>
              <w:t xml:space="preserve"> de </w:t>
            </w:r>
            <w:proofErr w:type="spellStart"/>
            <w:r w:rsidRPr="00260486">
              <w:rPr>
                <w:rFonts w:asciiTheme="majorHAnsi" w:hAnsiTheme="majorHAnsi" w:cstheme="majorHAnsi"/>
                <w:b/>
                <w:bCs/>
                <w:i/>
                <w:iCs/>
              </w:rPr>
              <w:t>adaptação</w:t>
            </w:r>
            <w:proofErr w:type="spellEnd"/>
            <w:r w:rsidRPr="00260486">
              <w:rPr>
                <w:rFonts w:asciiTheme="majorHAnsi" w:hAnsiTheme="majorHAnsi" w:cstheme="majorHAnsi"/>
                <w:b/>
                <w:bCs/>
                <w:i/>
                <w:iCs/>
              </w:rPr>
              <w:t xml:space="preserve"> de forma a </w:t>
            </w:r>
            <w:proofErr w:type="spellStart"/>
            <w:r w:rsidRPr="00260486">
              <w:rPr>
                <w:rFonts w:asciiTheme="majorHAnsi" w:hAnsiTheme="majorHAnsi" w:cstheme="majorHAnsi"/>
                <w:b/>
                <w:bCs/>
                <w:i/>
                <w:iCs/>
              </w:rPr>
              <w:t>obter</w:t>
            </w:r>
            <w:proofErr w:type="spellEnd"/>
            <w:r w:rsidRPr="00260486">
              <w:rPr>
                <w:rFonts w:asciiTheme="majorHAnsi" w:hAnsiTheme="majorHAnsi" w:cstheme="majorHAnsi"/>
                <w:b/>
                <w:bCs/>
                <w:i/>
                <w:iCs/>
              </w:rPr>
              <w:t xml:space="preserve"> um </w:t>
            </w:r>
            <w:proofErr w:type="spellStart"/>
            <w:r w:rsidRPr="00260486">
              <w:rPr>
                <w:rFonts w:asciiTheme="majorHAnsi" w:hAnsiTheme="majorHAnsi" w:cstheme="majorHAnsi"/>
                <w:b/>
                <w:bCs/>
                <w:i/>
                <w:iCs/>
              </w:rPr>
              <w:t>instrumento</w:t>
            </w:r>
            <w:proofErr w:type="spellEnd"/>
            <w:r w:rsidRPr="00260486">
              <w:rPr>
                <w:rFonts w:asciiTheme="majorHAnsi" w:hAnsiTheme="majorHAnsi" w:cstheme="majorHAnsi"/>
                <w:b/>
                <w:bCs/>
                <w:i/>
                <w:iCs/>
              </w:rPr>
              <w:t xml:space="preserve"> </w:t>
            </w:r>
            <w:proofErr w:type="spellStart"/>
            <w:r w:rsidRPr="00260486">
              <w:rPr>
                <w:rFonts w:asciiTheme="majorHAnsi" w:hAnsiTheme="majorHAnsi" w:cstheme="majorHAnsi"/>
                <w:b/>
                <w:bCs/>
                <w:i/>
                <w:iCs/>
              </w:rPr>
              <w:t>mais</w:t>
            </w:r>
            <w:proofErr w:type="spellEnd"/>
            <w:r w:rsidRPr="00260486">
              <w:rPr>
                <w:rFonts w:asciiTheme="majorHAnsi" w:hAnsiTheme="majorHAnsi" w:cstheme="majorHAnsi"/>
                <w:b/>
                <w:bCs/>
                <w:i/>
                <w:iCs/>
              </w:rPr>
              <w:t xml:space="preserve"> simples e </w:t>
            </w:r>
            <w:proofErr w:type="spellStart"/>
            <w:r w:rsidRPr="00260486">
              <w:rPr>
                <w:rFonts w:asciiTheme="majorHAnsi" w:hAnsiTheme="majorHAnsi" w:cstheme="majorHAnsi"/>
                <w:b/>
                <w:bCs/>
                <w:i/>
                <w:iCs/>
              </w:rPr>
              <w:t>adequado</w:t>
            </w:r>
            <w:proofErr w:type="spellEnd"/>
            <w:r w:rsidRPr="00260486">
              <w:rPr>
                <w:rFonts w:asciiTheme="majorHAnsi" w:hAnsiTheme="majorHAnsi" w:cstheme="majorHAnsi"/>
                <w:b/>
                <w:bCs/>
                <w:i/>
                <w:iCs/>
              </w:rPr>
              <w:t xml:space="preserve"> </w:t>
            </w:r>
            <w:proofErr w:type="spellStart"/>
            <w:r w:rsidRPr="00260486">
              <w:rPr>
                <w:rFonts w:asciiTheme="majorHAnsi" w:hAnsiTheme="majorHAnsi" w:cstheme="majorHAnsi"/>
                <w:b/>
                <w:bCs/>
                <w:i/>
                <w:iCs/>
              </w:rPr>
              <w:t>ao</w:t>
            </w:r>
            <w:proofErr w:type="spellEnd"/>
            <w:r w:rsidRPr="00260486">
              <w:rPr>
                <w:rFonts w:asciiTheme="majorHAnsi" w:hAnsiTheme="majorHAnsi" w:cstheme="majorHAnsi"/>
                <w:b/>
                <w:bCs/>
                <w:i/>
                <w:iCs/>
              </w:rPr>
              <w:t xml:space="preserve"> </w:t>
            </w:r>
            <w:proofErr w:type="spellStart"/>
            <w:r w:rsidRPr="00260486">
              <w:rPr>
                <w:rFonts w:asciiTheme="majorHAnsi" w:hAnsiTheme="majorHAnsi" w:cstheme="majorHAnsi"/>
                <w:b/>
                <w:bCs/>
                <w:i/>
                <w:iCs/>
              </w:rPr>
              <w:t>seu</w:t>
            </w:r>
            <w:proofErr w:type="spellEnd"/>
            <w:r w:rsidRPr="00260486">
              <w:rPr>
                <w:rFonts w:asciiTheme="majorHAnsi" w:hAnsiTheme="majorHAnsi" w:cstheme="majorHAnsi"/>
                <w:b/>
                <w:bCs/>
                <w:i/>
                <w:iCs/>
              </w:rPr>
              <w:t xml:space="preserve"> </w:t>
            </w:r>
            <w:proofErr w:type="spellStart"/>
            <w:r w:rsidRPr="00260486">
              <w:rPr>
                <w:rFonts w:asciiTheme="majorHAnsi" w:hAnsiTheme="majorHAnsi" w:cstheme="majorHAnsi"/>
                <w:b/>
                <w:bCs/>
                <w:i/>
                <w:iCs/>
              </w:rPr>
              <w:t>propósito</w:t>
            </w:r>
            <w:proofErr w:type="spellEnd"/>
            <w:r w:rsidRPr="00260486">
              <w:rPr>
                <w:rFonts w:asciiTheme="majorHAnsi" w:hAnsiTheme="majorHAnsi" w:cstheme="majorHAnsi"/>
                <w:b/>
                <w:bCs/>
                <w:i/>
                <w:iCs/>
              </w:rPr>
              <w:t xml:space="preserve">, </w:t>
            </w:r>
            <w:proofErr w:type="spellStart"/>
            <w:r w:rsidRPr="00260486">
              <w:rPr>
                <w:rFonts w:asciiTheme="majorHAnsi" w:hAnsiTheme="majorHAnsi" w:cstheme="majorHAnsi"/>
                <w:b/>
                <w:bCs/>
                <w:i/>
                <w:iCs/>
              </w:rPr>
              <w:t>sem</w:t>
            </w:r>
            <w:proofErr w:type="spellEnd"/>
            <w:r w:rsidRPr="00260486">
              <w:rPr>
                <w:rFonts w:asciiTheme="majorHAnsi" w:hAnsiTheme="majorHAnsi" w:cstheme="majorHAnsi"/>
                <w:b/>
                <w:bCs/>
                <w:i/>
                <w:iCs/>
              </w:rPr>
              <w:t xml:space="preserve"> </w:t>
            </w:r>
            <w:proofErr w:type="spellStart"/>
            <w:r w:rsidRPr="00260486">
              <w:rPr>
                <w:rFonts w:asciiTheme="majorHAnsi" w:hAnsiTheme="majorHAnsi" w:cstheme="majorHAnsi"/>
                <w:b/>
                <w:bCs/>
                <w:i/>
                <w:iCs/>
              </w:rPr>
              <w:t>perder</w:t>
            </w:r>
            <w:proofErr w:type="spellEnd"/>
            <w:r w:rsidRPr="00260486">
              <w:rPr>
                <w:rFonts w:asciiTheme="majorHAnsi" w:hAnsiTheme="majorHAnsi" w:cstheme="majorHAnsi"/>
                <w:b/>
                <w:bCs/>
                <w:i/>
                <w:iCs/>
              </w:rPr>
              <w:t xml:space="preserve"> de vista o </w:t>
            </w:r>
            <w:proofErr w:type="spellStart"/>
            <w:r w:rsidRPr="00260486">
              <w:rPr>
                <w:rFonts w:asciiTheme="majorHAnsi" w:hAnsiTheme="majorHAnsi" w:cstheme="majorHAnsi"/>
                <w:b/>
                <w:bCs/>
                <w:i/>
                <w:iCs/>
              </w:rPr>
              <w:t>fundamento</w:t>
            </w:r>
            <w:proofErr w:type="spellEnd"/>
            <w:r w:rsidRPr="00260486">
              <w:rPr>
                <w:rFonts w:asciiTheme="majorHAnsi" w:hAnsiTheme="majorHAnsi" w:cstheme="majorHAnsi"/>
                <w:b/>
                <w:bCs/>
                <w:i/>
                <w:iCs/>
              </w:rPr>
              <w:t xml:space="preserve"> </w:t>
            </w:r>
            <w:proofErr w:type="spellStart"/>
            <w:r w:rsidRPr="00260486">
              <w:rPr>
                <w:rFonts w:asciiTheme="majorHAnsi" w:hAnsiTheme="majorHAnsi" w:cstheme="majorHAnsi"/>
                <w:b/>
                <w:bCs/>
                <w:i/>
                <w:iCs/>
              </w:rPr>
              <w:t>científico</w:t>
            </w:r>
            <w:proofErr w:type="spellEnd"/>
            <w:r w:rsidRPr="00260486">
              <w:rPr>
                <w:rFonts w:asciiTheme="majorHAnsi" w:hAnsiTheme="majorHAnsi" w:cstheme="majorHAnsi"/>
                <w:i/>
                <w:iCs/>
              </w:rPr>
              <w:t>.</w:t>
            </w:r>
          </w:p>
          <w:p w14:paraId="5AF0126F" w14:textId="77777777" w:rsidR="00330CB3" w:rsidRDefault="00330CB3" w:rsidP="00B04C3C">
            <w:pPr>
              <w:autoSpaceDE w:val="0"/>
              <w:autoSpaceDN w:val="0"/>
              <w:adjustRightInd w:val="0"/>
              <w:jc w:val="both"/>
              <w:rPr>
                <w:rFonts w:asciiTheme="majorHAnsi" w:hAnsiTheme="majorHAnsi" w:cstheme="majorHAnsi"/>
                <w:i/>
                <w:iCs/>
              </w:rPr>
            </w:pPr>
          </w:p>
          <w:p w14:paraId="47000830" w14:textId="77777777" w:rsidR="00330CB3" w:rsidRPr="00260486" w:rsidRDefault="00330CB3" w:rsidP="00B04C3C">
            <w:pPr>
              <w:autoSpaceDE w:val="0"/>
              <w:autoSpaceDN w:val="0"/>
              <w:adjustRightInd w:val="0"/>
              <w:jc w:val="both"/>
              <w:rPr>
                <w:rFonts w:asciiTheme="majorHAnsi" w:hAnsiTheme="majorHAnsi" w:cstheme="majorHAnsi"/>
                <w:i/>
                <w:iCs/>
                <w:noProof/>
              </w:rPr>
            </w:pPr>
            <w:r>
              <w:rPr>
                <w:rFonts w:asciiTheme="majorHAnsi" w:hAnsiTheme="majorHAnsi" w:cstheme="majorHAnsi"/>
                <w:i/>
                <w:iCs/>
              </w:rPr>
              <w:t>*</w:t>
            </w:r>
            <w:proofErr w:type="spellStart"/>
            <w:r w:rsidRPr="00260486">
              <w:rPr>
                <w:rFonts w:asciiTheme="majorHAnsi" w:hAnsiTheme="majorHAnsi" w:cstheme="majorHAnsi"/>
              </w:rPr>
              <w:t>Representante</w:t>
            </w:r>
            <w:proofErr w:type="spellEnd"/>
            <w:r w:rsidRPr="00260486">
              <w:rPr>
                <w:rFonts w:asciiTheme="majorHAnsi" w:hAnsiTheme="majorHAnsi" w:cstheme="majorHAnsi"/>
              </w:rPr>
              <w:t xml:space="preserve"> da </w:t>
            </w:r>
            <w:proofErr w:type="spellStart"/>
            <w:r w:rsidRPr="00260486">
              <w:rPr>
                <w:rFonts w:asciiTheme="majorHAnsi" w:hAnsiTheme="majorHAnsi" w:cstheme="majorHAnsi"/>
              </w:rPr>
              <w:t>Fiocruz</w:t>
            </w:r>
            <w:proofErr w:type="spellEnd"/>
          </w:p>
        </w:tc>
        <w:tc>
          <w:tcPr>
            <w:tcW w:w="3827" w:type="dxa"/>
          </w:tcPr>
          <w:p w14:paraId="6746F5D2" w14:textId="77777777" w:rsidR="00330CB3" w:rsidRPr="000728CD" w:rsidRDefault="00330CB3" w:rsidP="00B04C3C">
            <w:pPr>
              <w:jc w:val="both"/>
              <w:rPr>
                <w:rFonts w:asciiTheme="majorHAnsi" w:hAnsiTheme="majorHAnsi" w:cstheme="majorHAnsi"/>
              </w:rPr>
            </w:pPr>
            <w:r>
              <w:rPr>
                <w:rFonts w:asciiTheme="majorHAnsi" w:hAnsiTheme="majorHAnsi" w:cstheme="majorHAnsi"/>
              </w:rPr>
              <w:t xml:space="preserve">A </w:t>
            </w:r>
            <w:proofErr w:type="spellStart"/>
            <w:r>
              <w:rPr>
                <w:rFonts w:asciiTheme="majorHAnsi" w:hAnsiTheme="majorHAnsi" w:cstheme="majorHAnsi"/>
              </w:rPr>
              <w:t>definição</w:t>
            </w:r>
            <w:proofErr w:type="spellEnd"/>
            <w:r>
              <w:rPr>
                <w:rFonts w:asciiTheme="majorHAnsi" w:hAnsiTheme="majorHAnsi" w:cstheme="majorHAnsi"/>
              </w:rPr>
              <w:t xml:space="preserve"> dos </w:t>
            </w:r>
            <w:proofErr w:type="spellStart"/>
            <w:r>
              <w:rPr>
                <w:rFonts w:asciiTheme="majorHAnsi" w:hAnsiTheme="majorHAnsi" w:cstheme="majorHAnsi"/>
              </w:rPr>
              <w:t>critérios</w:t>
            </w:r>
            <w:proofErr w:type="spellEnd"/>
            <w:r>
              <w:rPr>
                <w:rFonts w:asciiTheme="majorHAnsi" w:hAnsiTheme="majorHAnsi" w:cstheme="majorHAnsi"/>
              </w:rPr>
              <w:t xml:space="preserve"> </w:t>
            </w:r>
            <w:proofErr w:type="spellStart"/>
            <w:r>
              <w:rPr>
                <w:rFonts w:asciiTheme="majorHAnsi" w:hAnsiTheme="majorHAnsi" w:cstheme="majorHAnsi"/>
              </w:rPr>
              <w:t>objetivos</w:t>
            </w:r>
            <w:proofErr w:type="spellEnd"/>
            <w:r>
              <w:rPr>
                <w:rFonts w:asciiTheme="majorHAnsi" w:hAnsiTheme="majorHAnsi" w:cstheme="majorHAnsi"/>
              </w:rPr>
              <w:t xml:space="preserve"> para </w:t>
            </w:r>
            <w:proofErr w:type="spellStart"/>
            <w:r>
              <w:rPr>
                <w:rFonts w:asciiTheme="majorHAnsi" w:hAnsiTheme="majorHAnsi" w:cstheme="majorHAnsi"/>
              </w:rPr>
              <w:t>conclusão</w:t>
            </w:r>
            <w:proofErr w:type="spellEnd"/>
            <w:r>
              <w:rPr>
                <w:rFonts w:asciiTheme="majorHAnsi" w:hAnsiTheme="majorHAnsi" w:cstheme="majorHAnsi"/>
              </w:rPr>
              <w:t xml:space="preserve"> </w:t>
            </w:r>
            <w:proofErr w:type="spellStart"/>
            <w:r>
              <w:rPr>
                <w:rFonts w:asciiTheme="majorHAnsi" w:hAnsiTheme="majorHAnsi" w:cstheme="majorHAnsi"/>
              </w:rPr>
              <w:t>foi</w:t>
            </w:r>
            <w:proofErr w:type="spellEnd"/>
            <w:r>
              <w:rPr>
                <w:rFonts w:asciiTheme="majorHAnsi" w:hAnsiTheme="majorHAnsi" w:cstheme="majorHAnsi"/>
              </w:rPr>
              <w:t xml:space="preserve"> </w:t>
            </w:r>
            <w:proofErr w:type="spellStart"/>
            <w:r>
              <w:rPr>
                <w:rFonts w:asciiTheme="majorHAnsi" w:hAnsiTheme="majorHAnsi" w:cstheme="majorHAnsi"/>
              </w:rPr>
              <w:t>muito</w:t>
            </w:r>
            <w:proofErr w:type="spellEnd"/>
            <w:r>
              <w:rPr>
                <w:rFonts w:asciiTheme="majorHAnsi" w:hAnsiTheme="majorHAnsi" w:cstheme="majorHAnsi"/>
              </w:rPr>
              <w:t xml:space="preserve"> </w:t>
            </w:r>
            <w:proofErr w:type="spellStart"/>
            <w:r>
              <w:rPr>
                <w:rFonts w:asciiTheme="majorHAnsi" w:hAnsiTheme="majorHAnsi" w:cstheme="majorHAnsi"/>
              </w:rPr>
              <w:t>positiva</w:t>
            </w:r>
            <w:proofErr w:type="spellEnd"/>
            <w:r>
              <w:rPr>
                <w:rFonts w:asciiTheme="majorHAnsi" w:hAnsiTheme="majorHAnsi" w:cstheme="majorHAnsi"/>
              </w:rPr>
              <w:t xml:space="preserve">, para </w:t>
            </w:r>
            <w:proofErr w:type="spellStart"/>
            <w:r>
              <w:rPr>
                <w:rFonts w:asciiTheme="majorHAnsi" w:hAnsiTheme="majorHAnsi" w:cstheme="majorHAnsi"/>
              </w:rPr>
              <w:t>evitarmos</w:t>
            </w:r>
            <w:proofErr w:type="spellEnd"/>
            <w:r>
              <w:rPr>
                <w:rFonts w:asciiTheme="majorHAnsi" w:hAnsiTheme="majorHAnsi" w:cstheme="majorHAnsi"/>
              </w:rPr>
              <w:t xml:space="preserve"> a </w:t>
            </w:r>
            <w:proofErr w:type="spellStart"/>
            <w:r>
              <w:rPr>
                <w:rFonts w:asciiTheme="majorHAnsi" w:hAnsiTheme="majorHAnsi" w:cstheme="majorHAnsi"/>
              </w:rPr>
              <w:t>subjetividade</w:t>
            </w:r>
            <w:proofErr w:type="spellEnd"/>
            <w:r>
              <w:rPr>
                <w:rFonts w:asciiTheme="majorHAnsi" w:hAnsiTheme="majorHAnsi" w:cstheme="majorHAnsi"/>
              </w:rPr>
              <w:t xml:space="preserve"> </w:t>
            </w:r>
            <w:proofErr w:type="spellStart"/>
            <w:r>
              <w:rPr>
                <w:rFonts w:asciiTheme="majorHAnsi" w:hAnsiTheme="majorHAnsi" w:cstheme="majorHAnsi"/>
              </w:rPr>
              <w:t>nas</w:t>
            </w:r>
            <w:proofErr w:type="spellEnd"/>
            <w:r>
              <w:rPr>
                <w:rFonts w:asciiTheme="majorHAnsi" w:hAnsiTheme="majorHAnsi" w:cstheme="majorHAnsi"/>
              </w:rPr>
              <w:t xml:space="preserve"> </w:t>
            </w:r>
            <w:proofErr w:type="spellStart"/>
            <w:r>
              <w:rPr>
                <w:rFonts w:asciiTheme="majorHAnsi" w:hAnsiTheme="majorHAnsi" w:cstheme="majorHAnsi"/>
              </w:rPr>
              <w:t>análises</w:t>
            </w:r>
            <w:proofErr w:type="spellEnd"/>
            <w:r>
              <w:rPr>
                <w:rFonts w:asciiTheme="majorHAnsi" w:hAnsiTheme="majorHAnsi" w:cstheme="majorHAnsi"/>
              </w:rPr>
              <w:t xml:space="preserve">, mas </w:t>
            </w:r>
            <w:proofErr w:type="spellStart"/>
            <w:r>
              <w:rPr>
                <w:rFonts w:asciiTheme="majorHAnsi" w:hAnsiTheme="majorHAnsi" w:cstheme="majorHAnsi"/>
              </w:rPr>
              <w:t>atualmente</w:t>
            </w:r>
            <w:proofErr w:type="spellEnd"/>
            <w:r>
              <w:rPr>
                <w:rFonts w:asciiTheme="majorHAnsi" w:hAnsiTheme="majorHAnsi" w:cstheme="majorHAnsi"/>
              </w:rPr>
              <w:t xml:space="preserve"> </w:t>
            </w:r>
            <w:proofErr w:type="spellStart"/>
            <w:r>
              <w:rPr>
                <w:rFonts w:asciiTheme="majorHAnsi" w:hAnsiTheme="majorHAnsi" w:cstheme="majorHAnsi"/>
              </w:rPr>
              <w:t>mesmo</w:t>
            </w:r>
            <w:proofErr w:type="spellEnd"/>
            <w:r>
              <w:rPr>
                <w:rFonts w:asciiTheme="majorHAnsi" w:hAnsiTheme="majorHAnsi" w:cstheme="majorHAnsi"/>
              </w:rPr>
              <w:t xml:space="preserve"> com </w:t>
            </w:r>
            <w:proofErr w:type="spellStart"/>
            <w:r>
              <w:rPr>
                <w:rFonts w:asciiTheme="majorHAnsi" w:hAnsiTheme="majorHAnsi" w:cstheme="majorHAnsi"/>
              </w:rPr>
              <w:t>estudos</w:t>
            </w:r>
            <w:proofErr w:type="spellEnd"/>
            <w:r>
              <w:rPr>
                <w:rFonts w:asciiTheme="majorHAnsi" w:hAnsiTheme="majorHAnsi" w:cstheme="majorHAnsi"/>
              </w:rPr>
              <w:t xml:space="preserve"> </w:t>
            </w:r>
            <w:proofErr w:type="spellStart"/>
            <w:r>
              <w:rPr>
                <w:rFonts w:asciiTheme="majorHAnsi" w:hAnsiTheme="majorHAnsi" w:cstheme="majorHAnsi"/>
              </w:rPr>
              <w:t>qualificados</w:t>
            </w:r>
            <w:proofErr w:type="spellEnd"/>
            <w:r>
              <w:rPr>
                <w:rFonts w:asciiTheme="majorHAnsi" w:hAnsiTheme="majorHAnsi" w:cstheme="majorHAnsi"/>
              </w:rPr>
              <w:t xml:space="preserve"> com </w:t>
            </w:r>
            <w:proofErr w:type="spellStart"/>
            <w:r>
              <w:rPr>
                <w:rFonts w:asciiTheme="majorHAnsi" w:hAnsiTheme="majorHAnsi" w:cstheme="majorHAnsi"/>
              </w:rPr>
              <w:t>desfechos</w:t>
            </w:r>
            <w:proofErr w:type="spellEnd"/>
            <w:r>
              <w:rPr>
                <w:rFonts w:asciiTheme="majorHAnsi" w:hAnsiTheme="majorHAnsi" w:cstheme="majorHAnsi"/>
              </w:rPr>
              <w:t xml:space="preserve"> claros </w:t>
            </w:r>
            <w:proofErr w:type="spellStart"/>
            <w:r>
              <w:rPr>
                <w:rFonts w:asciiTheme="majorHAnsi" w:hAnsiTheme="majorHAnsi" w:cstheme="majorHAnsi"/>
              </w:rPr>
              <w:t>os</w:t>
            </w:r>
            <w:proofErr w:type="spellEnd"/>
            <w:r>
              <w:rPr>
                <w:rFonts w:asciiTheme="majorHAnsi" w:hAnsiTheme="majorHAnsi" w:cstheme="majorHAnsi"/>
              </w:rPr>
              <w:t xml:space="preserve"> </w:t>
            </w:r>
            <w:proofErr w:type="spellStart"/>
            <w:r>
              <w:rPr>
                <w:rFonts w:asciiTheme="majorHAnsi" w:hAnsiTheme="majorHAnsi" w:cstheme="majorHAnsi"/>
              </w:rPr>
              <w:t>técnicos</w:t>
            </w:r>
            <w:proofErr w:type="spellEnd"/>
            <w:r>
              <w:rPr>
                <w:rFonts w:asciiTheme="majorHAnsi" w:hAnsiTheme="majorHAnsi" w:cstheme="majorHAnsi"/>
              </w:rPr>
              <w:t xml:space="preserve"> </w:t>
            </w:r>
            <w:proofErr w:type="spellStart"/>
            <w:r>
              <w:rPr>
                <w:rFonts w:asciiTheme="majorHAnsi" w:hAnsiTheme="majorHAnsi" w:cstheme="majorHAnsi"/>
              </w:rPr>
              <w:t>podem</w:t>
            </w:r>
            <w:proofErr w:type="spellEnd"/>
            <w:r>
              <w:rPr>
                <w:rFonts w:asciiTheme="majorHAnsi" w:hAnsiTheme="majorHAnsi" w:cstheme="majorHAnsi"/>
              </w:rPr>
              <w:t xml:space="preserve"> </w:t>
            </w:r>
            <w:proofErr w:type="spellStart"/>
            <w:r>
              <w:rPr>
                <w:rFonts w:asciiTheme="majorHAnsi" w:hAnsiTheme="majorHAnsi" w:cstheme="majorHAnsi"/>
              </w:rPr>
              <w:t>julgá</w:t>
            </w:r>
            <w:proofErr w:type="spellEnd"/>
            <w:r>
              <w:rPr>
                <w:rFonts w:asciiTheme="majorHAnsi" w:hAnsiTheme="majorHAnsi" w:cstheme="majorHAnsi"/>
              </w:rPr>
              <w:t xml:space="preserve">-los </w:t>
            </w:r>
            <w:proofErr w:type="spellStart"/>
            <w:r>
              <w:rPr>
                <w:rFonts w:asciiTheme="majorHAnsi" w:hAnsiTheme="majorHAnsi" w:cstheme="majorHAnsi"/>
              </w:rPr>
              <w:t>fracos</w:t>
            </w:r>
            <w:proofErr w:type="spellEnd"/>
            <w:r>
              <w:rPr>
                <w:rFonts w:asciiTheme="majorHAnsi" w:hAnsiTheme="majorHAnsi" w:cstheme="majorHAnsi"/>
              </w:rPr>
              <w:t xml:space="preserve"> a </w:t>
            </w:r>
            <w:proofErr w:type="spellStart"/>
            <w:r>
              <w:rPr>
                <w:rFonts w:asciiTheme="majorHAnsi" w:hAnsiTheme="majorHAnsi" w:cstheme="majorHAnsi"/>
              </w:rPr>
              <w:t>partir</w:t>
            </w:r>
            <w:proofErr w:type="spellEnd"/>
            <w:r>
              <w:rPr>
                <w:rFonts w:asciiTheme="majorHAnsi" w:hAnsiTheme="majorHAnsi" w:cstheme="majorHAnsi"/>
              </w:rPr>
              <w:t xml:space="preserve"> de </w:t>
            </w:r>
            <w:proofErr w:type="spellStart"/>
            <w:r>
              <w:rPr>
                <w:rFonts w:asciiTheme="majorHAnsi" w:hAnsiTheme="majorHAnsi" w:cstheme="majorHAnsi"/>
              </w:rPr>
              <w:t>novos</w:t>
            </w:r>
            <w:proofErr w:type="spellEnd"/>
            <w:r>
              <w:rPr>
                <w:rFonts w:asciiTheme="majorHAnsi" w:hAnsiTheme="majorHAnsi" w:cstheme="majorHAnsi"/>
              </w:rPr>
              <w:t xml:space="preserve"> </w:t>
            </w:r>
            <w:proofErr w:type="spellStart"/>
            <w:r>
              <w:rPr>
                <w:rFonts w:asciiTheme="majorHAnsi" w:hAnsiTheme="majorHAnsi" w:cstheme="majorHAnsi"/>
              </w:rPr>
              <w:t>domínios</w:t>
            </w:r>
            <w:proofErr w:type="spellEnd"/>
            <w:r>
              <w:rPr>
                <w:rFonts w:asciiTheme="majorHAnsi" w:hAnsiTheme="majorHAnsi" w:cstheme="majorHAnsi"/>
              </w:rPr>
              <w:t xml:space="preserve"> de </w:t>
            </w:r>
            <w:proofErr w:type="spellStart"/>
            <w:r>
              <w:rPr>
                <w:rFonts w:asciiTheme="majorHAnsi" w:hAnsiTheme="majorHAnsi" w:cstheme="majorHAnsi"/>
              </w:rPr>
              <w:t>força</w:t>
            </w:r>
            <w:proofErr w:type="spellEnd"/>
            <w:r>
              <w:rPr>
                <w:rFonts w:asciiTheme="majorHAnsi" w:hAnsiTheme="majorHAnsi" w:cstheme="majorHAnsi"/>
              </w:rPr>
              <w:t xml:space="preserve"> de </w:t>
            </w:r>
            <w:proofErr w:type="spellStart"/>
            <w:r>
              <w:rPr>
                <w:rFonts w:asciiTheme="majorHAnsi" w:hAnsiTheme="majorHAnsi" w:cstheme="majorHAnsi"/>
              </w:rPr>
              <w:t>evidência</w:t>
            </w:r>
            <w:proofErr w:type="spellEnd"/>
            <w:r>
              <w:rPr>
                <w:rFonts w:asciiTheme="majorHAnsi" w:hAnsiTheme="majorHAnsi" w:cstheme="majorHAnsi"/>
              </w:rPr>
              <w:t xml:space="preserve"> </w:t>
            </w:r>
            <w:proofErr w:type="spellStart"/>
            <w:r>
              <w:rPr>
                <w:rFonts w:asciiTheme="majorHAnsi" w:hAnsiTheme="majorHAnsi" w:cstheme="majorHAnsi"/>
              </w:rPr>
              <w:t>trazidos</w:t>
            </w:r>
            <w:proofErr w:type="spellEnd"/>
            <w:r>
              <w:rPr>
                <w:rFonts w:asciiTheme="majorHAnsi" w:hAnsiTheme="majorHAnsi" w:cstheme="majorHAnsi"/>
              </w:rPr>
              <w:t xml:space="preserve"> </w:t>
            </w:r>
            <w:proofErr w:type="spellStart"/>
            <w:r>
              <w:rPr>
                <w:rFonts w:asciiTheme="majorHAnsi" w:hAnsiTheme="majorHAnsi" w:cstheme="majorHAnsi"/>
              </w:rPr>
              <w:t>na</w:t>
            </w:r>
            <w:proofErr w:type="spellEnd"/>
            <w:r>
              <w:rPr>
                <w:rFonts w:asciiTheme="majorHAnsi" w:hAnsiTheme="majorHAnsi" w:cstheme="majorHAnsi"/>
              </w:rPr>
              <w:t xml:space="preserve"> </w:t>
            </w:r>
            <w:proofErr w:type="spellStart"/>
            <w:r>
              <w:rPr>
                <w:rFonts w:asciiTheme="majorHAnsi" w:hAnsiTheme="majorHAnsi" w:cstheme="majorHAnsi"/>
              </w:rPr>
              <w:t>versão</w:t>
            </w:r>
            <w:proofErr w:type="spellEnd"/>
            <w:r>
              <w:rPr>
                <w:rFonts w:asciiTheme="majorHAnsi" w:hAnsiTheme="majorHAnsi" w:cstheme="majorHAnsi"/>
              </w:rPr>
              <w:t xml:space="preserve"> 2 do </w:t>
            </w:r>
            <w:proofErr w:type="spellStart"/>
            <w:r>
              <w:rPr>
                <w:rFonts w:asciiTheme="majorHAnsi" w:hAnsiTheme="majorHAnsi" w:cstheme="majorHAnsi"/>
              </w:rPr>
              <w:t>Guia</w:t>
            </w:r>
            <w:proofErr w:type="spellEnd"/>
            <w:r>
              <w:rPr>
                <w:rFonts w:asciiTheme="majorHAnsi" w:hAnsiTheme="majorHAnsi" w:cstheme="majorHAnsi"/>
              </w:rPr>
              <w:t xml:space="preserve"> de </w:t>
            </w:r>
            <w:proofErr w:type="spellStart"/>
            <w:r>
              <w:rPr>
                <w:rFonts w:asciiTheme="majorHAnsi" w:hAnsiTheme="majorHAnsi" w:cstheme="majorHAnsi"/>
              </w:rPr>
              <w:t>probióticos</w:t>
            </w:r>
            <w:proofErr w:type="spellEnd"/>
            <w:r>
              <w:rPr>
                <w:rFonts w:asciiTheme="majorHAnsi" w:hAnsiTheme="majorHAnsi" w:cstheme="majorHAnsi"/>
              </w:rPr>
              <w:t xml:space="preserve">.  </w:t>
            </w:r>
            <w:proofErr w:type="spellStart"/>
            <w:r>
              <w:rPr>
                <w:rFonts w:asciiTheme="majorHAnsi" w:hAnsiTheme="majorHAnsi" w:cstheme="majorHAnsi"/>
              </w:rPr>
              <w:t>Além</w:t>
            </w:r>
            <w:proofErr w:type="spellEnd"/>
            <w:r>
              <w:rPr>
                <w:rFonts w:asciiTheme="majorHAnsi" w:hAnsiTheme="majorHAnsi" w:cstheme="majorHAnsi"/>
              </w:rPr>
              <w:t xml:space="preserve"> </w:t>
            </w:r>
            <w:proofErr w:type="spellStart"/>
            <w:r>
              <w:rPr>
                <w:rFonts w:asciiTheme="majorHAnsi" w:hAnsiTheme="majorHAnsi" w:cstheme="majorHAnsi"/>
              </w:rPr>
              <w:t>disso</w:t>
            </w:r>
            <w:proofErr w:type="spellEnd"/>
            <w:r>
              <w:rPr>
                <w:rFonts w:asciiTheme="majorHAnsi" w:hAnsiTheme="majorHAnsi" w:cstheme="majorHAnsi"/>
              </w:rPr>
              <w:t xml:space="preserve">, </w:t>
            </w:r>
            <w:proofErr w:type="spellStart"/>
            <w:r>
              <w:rPr>
                <w:rFonts w:asciiTheme="majorHAnsi" w:hAnsiTheme="majorHAnsi" w:cstheme="majorHAnsi"/>
              </w:rPr>
              <w:t>inicialmente</w:t>
            </w:r>
            <w:proofErr w:type="spellEnd"/>
            <w:r>
              <w:rPr>
                <w:rFonts w:asciiTheme="majorHAnsi" w:hAnsiTheme="majorHAnsi" w:cstheme="majorHAnsi"/>
              </w:rPr>
              <w:t xml:space="preserve"> </w:t>
            </w:r>
            <w:proofErr w:type="spellStart"/>
            <w:r>
              <w:rPr>
                <w:rFonts w:asciiTheme="majorHAnsi" w:hAnsiTheme="majorHAnsi" w:cstheme="majorHAnsi"/>
              </w:rPr>
              <w:t>tinha</w:t>
            </w:r>
            <w:proofErr w:type="spellEnd"/>
            <w:r>
              <w:rPr>
                <w:rFonts w:asciiTheme="majorHAnsi" w:hAnsiTheme="majorHAnsi" w:cstheme="majorHAnsi"/>
              </w:rPr>
              <w:t xml:space="preserve">-se </w:t>
            </w:r>
            <w:proofErr w:type="spellStart"/>
            <w:r>
              <w:rPr>
                <w:rFonts w:asciiTheme="majorHAnsi" w:hAnsiTheme="majorHAnsi" w:cstheme="majorHAnsi"/>
              </w:rPr>
              <w:t>clara</w:t>
            </w:r>
            <w:proofErr w:type="spellEnd"/>
            <w:r>
              <w:rPr>
                <w:rFonts w:asciiTheme="majorHAnsi" w:hAnsiTheme="majorHAnsi" w:cstheme="majorHAnsi"/>
              </w:rPr>
              <w:t xml:space="preserve"> a </w:t>
            </w:r>
            <w:proofErr w:type="spellStart"/>
            <w:r>
              <w:rPr>
                <w:rFonts w:asciiTheme="majorHAnsi" w:hAnsiTheme="majorHAnsi" w:cstheme="majorHAnsi"/>
              </w:rPr>
              <w:t>fundamentação</w:t>
            </w:r>
            <w:proofErr w:type="spellEnd"/>
            <w:r>
              <w:rPr>
                <w:rFonts w:asciiTheme="majorHAnsi" w:hAnsiTheme="majorHAnsi" w:cstheme="majorHAnsi"/>
              </w:rPr>
              <w:t xml:space="preserve"> </w:t>
            </w:r>
            <w:proofErr w:type="spellStart"/>
            <w:r>
              <w:rPr>
                <w:rFonts w:asciiTheme="majorHAnsi" w:hAnsiTheme="majorHAnsi" w:cstheme="majorHAnsi"/>
              </w:rPr>
              <w:t>científica</w:t>
            </w:r>
            <w:proofErr w:type="spellEnd"/>
            <w:r>
              <w:rPr>
                <w:rFonts w:asciiTheme="majorHAnsi" w:hAnsiTheme="majorHAnsi" w:cstheme="majorHAnsi"/>
              </w:rPr>
              <w:t xml:space="preserve"> era </w:t>
            </w:r>
            <w:proofErr w:type="spellStart"/>
            <w:r>
              <w:rPr>
                <w:rFonts w:asciiTheme="majorHAnsi" w:hAnsiTheme="majorHAnsi" w:cstheme="majorHAnsi"/>
              </w:rPr>
              <w:t>importante</w:t>
            </w:r>
            <w:proofErr w:type="spellEnd"/>
            <w:r>
              <w:rPr>
                <w:rFonts w:asciiTheme="majorHAnsi" w:hAnsiTheme="majorHAnsi" w:cstheme="majorHAnsi"/>
              </w:rPr>
              <w:t xml:space="preserve">, mas </w:t>
            </w:r>
            <w:proofErr w:type="spellStart"/>
            <w:r>
              <w:rPr>
                <w:rFonts w:asciiTheme="majorHAnsi" w:hAnsiTheme="majorHAnsi" w:cstheme="majorHAnsi"/>
              </w:rPr>
              <w:t>deveria</w:t>
            </w:r>
            <w:proofErr w:type="spellEnd"/>
            <w:r>
              <w:rPr>
                <w:rFonts w:asciiTheme="majorHAnsi" w:hAnsiTheme="majorHAnsi" w:cstheme="majorHAnsi"/>
              </w:rPr>
              <w:t xml:space="preserve"> ser </w:t>
            </w:r>
            <w:proofErr w:type="spellStart"/>
            <w:r>
              <w:rPr>
                <w:rFonts w:asciiTheme="majorHAnsi" w:hAnsiTheme="majorHAnsi" w:cstheme="majorHAnsi"/>
              </w:rPr>
              <w:t>adequada</w:t>
            </w:r>
            <w:proofErr w:type="spellEnd"/>
            <w:r>
              <w:rPr>
                <w:rFonts w:asciiTheme="majorHAnsi" w:hAnsiTheme="majorHAnsi" w:cstheme="majorHAnsi"/>
              </w:rPr>
              <w:t xml:space="preserve"> </w:t>
            </w:r>
            <w:proofErr w:type="spellStart"/>
            <w:r>
              <w:rPr>
                <w:rFonts w:asciiTheme="majorHAnsi" w:hAnsiTheme="majorHAnsi" w:cstheme="majorHAnsi"/>
              </w:rPr>
              <w:t>ao</w:t>
            </w:r>
            <w:proofErr w:type="spellEnd"/>
            <w:r>
              <w:rPr>
                <w:rFonts w:asciiTheme="majorHAnsi" w:hAnsiTheme="majorHAnsi" w:cstheme="majorHAnsi"/>
              </w:rPr>
              <w:t xml:space="preserve"> </w:t>
            </w:r>
            <w:proofErr w:type="spellStart"/>
            <w:r>
              <w:rPr>
                <w:rFonts w:asciiTheme="majorHAnsi" w:hAnsiTheme="majorHAnsi" w:cstheme="majorHAnsi"/>
              </w:rPr>
              <w:t>propósito</w:t>
            </w:r>
            <w:proofErr w:type="spellEnd"/>
            <w:r>
              <w:rPr>
                <w:rFonts w:asciiTheme="majorHAnsi" w:hAnsiTheme="majorHAnsi" w:cstheme="majorHAnsi"/>
              </w:rPr>
              <w:t xml:space="preserve"> do novo </w:t>
            </w:r>
            <w:proofErr w:type="spellStart"/>
            <w:r>
              <w:rPr>
                <w:rFonts w:asciiTheme="majorHAnsi" w:hAnsiTheme="majorHAnsi" w:cstheme="majorHAnsi"/>
              </w:rPr>
              <w:t>marco</w:t>
            </w:r>
            <w:proofErr w:type="spellEnd"/>
            <w:r>
              <w:rPr>
                <w:rFonts w:asciiTheme="majorHAnsi" w:hAnsiTheme="majorHAnsi" w:cstheme="majorHAnsi"/>
              </w:rPr>
              <w:t xml:space="preserve"> de </w:t>
            </w:r>
            <w:proofErr w:type="spellStart"/>
            <w:r>
              <w:rPr>
                <w:rFonts w:asciiTheme="majorHAnsi" w:hAnsiTheme="majorHAnsi" w:cstheme="majorHAnsi"/>
              </w:rPr>
              <w:t>suplementos</w:t>
            </w:r>
            <w:proofErr w:type="spellEnd"/>
            <w:r>
              <w:rPr>
                <w:rFonts w:asciiTheme="majorHAnsi" w:hAnsiTheme="majorHAnsi" w:cstheme="majorHAnsi"/>
              </w:rPr>
              <w:t xml:space="preserve">. </w:t>
            </w:r>
          </w:p>
        </w:tc>
        <w:tc>
          <w:tcPr>
            <w:tcW w:w="3544" w:type="dxa"/>
          </w:tcPr>
          <w:p w14:paraId="28517812" w14:textId="77777777" w:rsidR="00330CB3" w:rsidRPr="000728CD" w:rsidRDefault="00330CB3" w:rsidP="00B04C3C">
            <w:pPr>
              <w:jc w:val="both"/>
              <w:rPr>
                <w:rFonts w:asciiTheme="majorHAnsi" w:hAnsiTheme="majorHAnsi" w:cstheme="majorHAnsi"/>
              </w:rPr>
            </w:pPr>
          </w:p>
        </w:tc>
      </w:tr>
      <w:tr w:rsidR="00330CB3" w:rsidRPr="000728CD" w14:paraId="37B36E82" w14:textId="48079DA7" w:rsidTr="00330CB3">
        <w:trPr>
          <w:trHeight w:val="2344"/>
        </w:trPr>
        <w:tc>
          <w:tcPr>
            <w:tcW w:w="2547" w:type="dxa"/>
          </w:tcPr>
          <w:p w14:paraId="10471AE2" w14:textId="77777777" w:rsidR="00330CB3" w:rsidRPr="000728CD" w:rsidRDefault="00330CB3" w:rsidP="00B04C3C">
            <w:pPr>
              <w:rPr>
                <w:rFonts w:asciiTheme="majorHAnsi" w:hAnsiTheme="majorHAnsi" w:cstheme="majorHAnsi"/>
                <w:noProof/>
              </w:rPr>
            </w:pPr>
          </w:p>
        </w:tc>
        <w:tc>
          <w:tcPr>
            <w:tcW w:w="3544" w:type="dxa"/>
          </w:tcPr>
          <w:p w14:paraId="12DF1736" w14:textId="77777777" w:rsidR="00330CB3" w:rsidRDefault="00330CB3" w:rsidP="00B04C3C">
            <w:pPr>
              <w:autoSpaceDE w:val="0"/>
              <w:autoSpaceDN w:val="0"/>
              <w:adjustRightInd w:val="0"/>
              <w:jc w:val="both"/>
              <w:rPr>
                <w:rFonts w:asciiTheme="majorHAnsi" w:hAnsiTheme="majorHAnsi" w:cstheme="majorHAnsi"/>
                <w:i/>
                <w:iCs/>
              </w:rPr>
            </w:pPr>
            <w:r w:rsidRPr="00260486">
              <w:rPr>
                <w:rFonts w:asciiTheme="majorHAnsi" w:hAnsiTheme="majorHAnsi" w:cstheme="majorHAnsi"/>
                <w:i/>
                <w:iCs/>
              </w:rPr>
              <w:t xml:space="preserve">O </w:t>
            </w:r>
            <w:proofErr w:type="spellStart"/>
            <w:r w:rsidRPr="00260486">
              <w:rPr>
                <w:rFonts w:asciiTheme="majorHAnsi" w:hAnsiTheme="majorHAnsi" w:cstheme="majorHAnsi"/>
                <w:i/>
                <w:iCs/>
              </w:rPr>
              <w:t>Guia</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apresenta</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uma</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abordagem</w:t>
            </w:r>
            <w:proofErr w:type="spellEnd"/>
            <w:r w:rsidRPr="00260486">
              <w:rPr>
                <w:rFonts w:asciiTheme="majorHAnsi" w:hAnsiTheme="majorHAnsi" w:cstheme="majorHAnsi"/>
                <w:i/>
                <w:iCs/>
              </w:rPr>
              <w:t xml:space="preserve"> que </w:t>
            </w:r>
            <w:proofErr w:type="spellStart"/>
            <w:r w:rsidRPr="00260486">
              <w:rPr>
                <w:rFonts w:asciiTheme="majorHAnsi" w:hAnsiTheme="majorHAnsi" w:cstheme="majorHAnsi"/>
                <w:i/>
                <w:iCs/>
              </w:rPr>
              <w:t>permite</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agregar</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em</w:t>
            </w:r>
            <w:proofErr w:type="spellEnd"/>
            <w:r w:rsidRPr="00260486">
              <w:rPr>
                <w:rFonts w:asciiTheme="majorHAnsi" w:hAnsiTheme="majorHAnsi" w:cstheme="majorHAnsi"/>
                <w:i/>
                <w:iCs/>
              </w:rPr>
              <w:t xml:space="preserve"> um </w:t>
            </w:r>
            <w:proofErr w:type="spellStart"/>
            <w:r w:rsidRPr="00260486">
              <w:rPr>
                <w:rFonts w:asciiTheme="majorHAnsi" w:hAnsiTheme="majorHAnsi" w:cstheme="majorHAnsi"/>
                <w:i/>
                <w:iCs/>
              </w:rPr>
              <w:t>mesmo</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dossiê</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estudos</w:t>
            </w:r>
            <w:proofErr w:type="spellEnd"/>
            <w:r w:rsidRPr="00260486">
              <w:rPr>
                <w:rFonts w:asciiTheme="majorHAnsi" w:hAnsiTheme="majorHAnsi" w:cstheme="majorHAnsi"/>
                <w:i/>
                <w:iCs/>
              </w:rPr>
              <w:t xml:space="preserve"> com </w:t>
            </w:r>
            <w:proofErr w:type="spellStart"/>
            <w:r w:rsidRPr="00260486">
              <w:rPr>
                <w:rFonts w:asciiTheme="majorHAnsi" w:hAnsiTheme="majorHAnsi" w:cstheme="majorHAnsi"/>
                <w:i/>
                <w:iCs/>
              </w:rPr>
              <w:t>desfechos</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distintos</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desde</w:t>
            </w:r>
            <w:proofErr w:type="spellEnd"/>
            <w:r w:rsidRPr="00260486">
              <w:rPr>
                <w:rFonts w:asciiTheme="majorHAnsi" w:hAnsiTheme="majorHAnsi" w:cstheme="majorHAnsi"/>
                <w:i/>
                <w:iCs/>
              </w:rPr>
              <w:t xml:space="preserve"> que </w:t>
            </w:r>
            <w:proofErr w:type="spellStart"/>
            <w:r w:rsidRPr="00260486">
              <w:rPr>
                <w:rFonts w:asciiTheme="majorHAnsi" w:hAnsiTheme="majorHAnsi" w:cstheme="majorHAnsi"/>
                <w:i/>
                <w:iCs/>
              </w:rPr>
              <w:t>relacionados</w:t>
            </w:r>
            <w:proofErr w:type="spellEnd"/>
            <w:r w:rsidRPr="00260486">
              <w:rPr>
                <w:rFonts w:asciiTheme="majorHAnsi" w:hAnsiTheme="majorHAnsi" w:cstheme="majorHAnsi"/>
                <w:i/>
                <w:iCs/>
              </w:rPr>
              <w:t xml:space="preserve"> a </w:t>
            </w:r>
            <w:proofErr w:type="spellStart"/>
            <w:r w:rsidRPr="00260486">
              <w:rPr>
                <w:rFonts w:asciiTheme="majorHAnsi" w:hAnsiTheme="majorHAnsi" w:cstheme="majorHAnsi"/>
                <w:i/>
                <w:iCs/>
              </w:rPr>
              <w:t>uma</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b/>
                <w:bCs/>
                <w:i/>
                <w:iCs/>
              </w:rPr>
              <w:t>função</w:t>
            </w:r>
            <w:proofErr w:type="spellEnd"/>
            <w:r w:rsidRPr="00260486">
              <w:rPr>
                <w:rFonts w:asciiTheme="majorHAnsi" w:hAnsiTheme="majorHAnsi" w:cstheme="majorHAnsi"/>
                <w:b/>
                <w:bCs/>
                <w:i/>
                <w:iCs/>
              </w:rPr>
              <w:t xml:space="preserve"> </w:t>
            </w:r>
            <w:proofErr w:type="spellStart"/>
            <w:r w:rsidRPr="00260486">
              <w:rPr>
                <w:rFonts w:asciiTheme="majorHAnsi" w:hAnsiTheme="majorHAnsi" w:cstheme="majorHAnsi"/>
                <w:b/>
                <w:bCs/>
                <w:i/>
                <w:iCs/>
              </w:rPr>
              <w:t>geral</w:t>
            </w:r>
            <w:proofErr w:type="spellEnd"/>
            <w:r w:rsidRPr="00260486">
              <w:rPr>
                <w:rFonts w:asciiTheme="majorHAnsi" w:hAnsiTheme="majorHAnsi" w:cstheme="majorHAnsi"/>
                <w:b/>
                <w:bCs/>
                <w:i/>
                <w:iCs/>
              </w:rPr>
              <w:t xml:space="preserve"> do </w:t>
            </w:r>
            <w:proofErr w:type="spellStart"/>
            <w:r w:rsidRPr="00260486">
              <w:rPr>
                <w:rFonts w:asciiTheme="majorHAnsi" w:hAnsiTheme="majorHAnsi" w:cstheme="majorHAnsi"/>
                <w:b/>
                <w:bCs/>
                <w:i/>
                <w:iCs/>
              </w:rPr>
              <w:t>probiótico</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em</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algum</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sistema</w:t>
            </w:r>
            <w:proofErr w:type="spellEnd"/>
            <w:r w:rsidRPr="00260486">
              <w:rPr>
                <w:rFonts w:asciiTheme="majorHAnsi" w:hAnsiTheme="majorHAnsi" w:cstheme="majorHAnsi"/>
                <w:i/>
                <w:iCs/>
              </w:rPr>
              <w:t xml:space="preserve"> do </w:t>
            </w:r>
            <w:proofErr w:type="spellStart"/>
            <w:r w:rsidRPr="00260486">
              <w:rPr>
                <w:rFonts w:asciiTheme="majorHAnsi" w:hAnsiTheme="majorHAnsi" w:cstheme="majorHAnsi"/>
                <w:i/>
                <w:iCs/>
              </w:rPr>
              <w:t>organismo</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como</w:t>
            </w:r>
            <w:proofErr w:type="spellEnd"/>
            <w:r w:rsidRPr="00260486">
              <w:rPr>
                <w:rFonts w:asciiTheme="majorHAnsi" w:hAnsiTheme="majorHAnsi" w:cstheme="majorHAnsi"/>
                <w:i/>
                <w:iCs/>
              </w:rPr>
              <w:t xml:space="preserve"> gastrointestinal </w:t>
            </w:r>
            <w:proofErr w:type="spellStart"/>
            <w:r w:rsidRPr="00260486">
              <w:rPr>
                <w:rFonts w:asciiTheme="majorHAnsi" w:hAnsiTheme="majorHAnsi" w:cstheme="majorHAnsi"/>
                <w:b/>
                <w:bCs/>
                <w:i/>
                <w:iCs/>
              </w:rPr>
              <w:t>ou</w:t>
            </w:r>
            <w:proofErr w:type="spellEnd"/>
            <w:r w:rsidRPr="00260486">
              <w:rPr>
                <w:rFonts w:asciiTheme="majorHAnsi" w:hAnsiTheme="majorHAnsi" w:cstheme="majorHAnsi"/>
                <w:b/>
                <w:bCs/>
                <w:i/>
                <w:iCs/>
              </w:rPr>
              <w:t xml:space="preserve"> </w:t>
            </w:r>
            <w:proofErr w:type="spellStart"/>
            <w:r w:rsidRPr="00260486">
              <w:rPr>
                <w:rFonts w:asciiTheme="majorHAnsi" w:hAnsiTheme="majorHAnsi" w:cstheme="majorHAnsi"/>
                <w:b/>
                <w:bCs/>
                <w:i/>
                <w:iCs/>
              </w:rPr>
              <w:t>imunológico</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Ao</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permitir</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essa</w:t>
            </w:r>
            <w:proofErr w:type="spellEnd"/>
            <w:r w:rsidRPr="00260486">
              <w:rPr>
                <w:rFonts w:asciiTheme="majorHAnsi" w:hAnsiTheme="majorHAnsi" w:cstheme="majorHAnsi"/>
                <w:i/>
                <w:iCs/>
              </w:rPr>
              <w:t xml:space="preserve"> soma de </w:t>
            </w:r>
            <w:proofErr w:type="spellStart"/>
            <w:r w:rsidRPr="00260486">
              <w:rPr>
                <w:rFonts w:asciiTheme="majorHAnsi" w:hAnsiTheme="majorHAnsi" w:cstheme="majorHAnsi"/>
                <w:i/>
                <w:iCs/>
              </w:rPr>
              <w:t>evidências</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abre</w:t>
            </w:r>
            <w:proofErr w:type="spellEnd"/>
            <w:r w:rsidRPr="00260486">
              <w:rPr>
                <w:rFonts w:asciiTheme="majorHAnsi" w:hAnsiTheme="majorHAnsi" w:cstheme="majorHAnsi"/>
                <w:i/>
                <w:iCs/>
              </w:rPr>
              <w:t>-</w:t>
            </w:r>
            <w:proofErr w:type="spellStart"/>
            <w:r w:rsidRPr="00260486">
              <w:rPr>
                <w:rFonts w:asciiTheme="majorHAnsi" w:hAnsiTheme="majorHAnsi" w:cstheme="majorHAnsi"/>
                <w:i/>
                <w:iCs/>
              </w:rPr>
              <w:t>se a</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possibilidade</w:t>
            </w:r>
            <w:proofErr w:type="spellEnd"/>
            <w:r w:rsidRPr="00260486">
              <w:rPr>
                <w:rFonts w:asciiTheme="majorHAnsi" w:hAnsiTheme="majorHAnsi" w:cstheme="majorHAnsi"/>
                <w:i/>
                <w:iCs/>
              </w:rPr>
              <w:t xml:space="preserve"> de </w:t>
            </w:r>
            <w:proofErr w:type="spellStart"/>
            <w:r w:rsidRPr="00260486">
              <w:rPr>
                <w:rFonts w:asciiTheme="majorHAnsi" w:hAnsiTheme="majorHAnsi" w:cstheme="majorHAnsi"/>
                <w:i/>
                <w:iCs/>
              </w:rPr>
              <w:t>reunir</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estudos</w:t>
            </w:r>
            <w:proofErr w:type="spellEnd"/>
            <w:r w:rsidRPr="00260486">
              <w:rPr>
                <w:rFonts w:asciiTheme="majorHAnsi" w:hAnsiTheme="majorHAnsi" w:cstheme="majorHAnsi"/>
                <w:i/>
                <w:iCs/>
              </w:rPr>
              <w:t xml:space="preserve"> de </w:t>
            </w:r>
            <w:proofErr w:type="spellStart"/>
            <w:r w:rsidRPr="00260486">
              <w:rPr>
                <w:rFonts w:asciiTheme="majorHAnsi" w:hAnsiTheme="majorHAnsi" w:cstheme="majorHAnsi"/>
                <w:i/>
                <w:iCs/>
              </w:rPr>
              <w:t>qualidade</w:t>
            </w:r>
            <w:proofErr w:type="spellEnd"/>
            <w:r w:rsidRPr="00260486">
              <w:rPr>
                <w:rFonts w:asciiTheme="majorHAnsi" w:hAnsiTheme="majorHAnsi" w:cstheme="majorHAnsi"/>
                <w:i/>
                <w:iCs/>
              </w:rPr>
              <w:t xml:space="preserve"> que </w:t>
            </w:r>
            <w:proofErr w:type="spellStart"/>
            <w:r w:rsidRPr="00260486">
              <w:rPr>
                <w:rFonts w:asciiTheme="majorHAnsi" w:hAnsiTheme="majorHAnsi" w:cstheme="majorHAnsi"/>
                <w:i/>
                <w:iCs/>
              </w:rPr>
              <w:t>tenham</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resultados</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consistentes</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ou</w:t>
            </w:r>
            <w:proofErr w:type="spellEnd"/>
            <w:r w:rsidRPr="00260486">
              <w:rPr>
                <w:rFonts w:asciiTheme="majorHAnsi" w:hAnsiTheme="majorHAnsi" w:cstheme="majorHAnsi"/>
                <w:i/>
                <w:iCs/>
              </w:rPr>
              <w:t xml:space="preserve"> com </w:t>
            </w:r>
            <w:proofErr w:type="spellStart"/>
            <w:r w:rsidRPr="00260486">
              <w:rPr>
                <w:rFonts w:asciiTheme="majorHAnsi" w:hAnsiTheme="majorHAnsi" w:cstheme="majorHAnsi"/>
                <w:i/>
                <w:iCs/>
              </w:rPr>
              <w:t>força</w:t>
            </w:r>
            <w:proofErr w:type="spellEnd"/>
            <w:r w:rsidRPr="00260486">
              <w:rPr>
                <w:rFonts w:asciiTheme="majorHAnsi" w:hAnsiTheme="majorHAnsi" w:cstheme="majorHAnsi"/>
                <w:i/>
                <w:iCs/>
              </w:rPr>
              <w:t xml:space="preserve"> de </w:t>
            </w:r>
            <w:proofErr w:type="spellStart"/>
            <w:r w:rsidRPr="00260486">
              <w:rPr>
                <w:rFonts w:asciiTheme="majorHAnsi" w:hAnsiTheme="majorHAnsi" w:cstheme="majorHAnsi"/>
                <w:i/>
                <w:iCs/>
              </w:rPr>
              <w:t>associação</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suficiente</w:t>
            </w:r>
            <w:proofErr w:type="spellEnd"/>
            <w:r w:rsidRPr="00260486">
              <w:rPr>
                <w:rFonts w:asciiTheme="majorHAnsi" w:hAnsiTheme="majorHAnsi" w:cstheme="majorHAnsi"/>
                <w:i/>
                <w:iCs/>
              </w:rPr>
              <w:t xml:space="preserve"> para </w:t>
            </w:r>
            <w:proofErr w:type="spellStart"/>
            <w:r w:rsidRPr="00260486">
              <w:rPr>
                <w:rFonts w:asciiTheme="majorHAnsi" w:hAnsiTheme="majorHAnsi" w:cstheme="majorHAnsi"/>
                <w:i/>
                <w:iCs/>
              </w:rPr>
              <w:t>sustentar</w:t>
            </w:r>
            <w:proofErr w:type="spellEnd"/>
            <w:r w:rsidRPr="00260486">
              <w:rPr>
                <w:rFonts w:asciiTheme="majorHAnsi" w:hAnsiTheme="majorHAnsi" w:cstheme="majorHAnsi"/>
                <w:i/>
                <w:iCs/>
              </w:rPr>
              <w:t xml:space="preserve"> um </w:t>
            </w:r>
            <w:proofErr w:type="spellStart"/>
            <w:r w:rsidRPr="00260486">
              <w:rPr>
                <w:rFonts w:asciiTheme="majorHAnsi" w:hAnsiTheme="majorHAnsi" w:cstheme="majorHAnsi"/>
                <w:i/>
                <w:iCs/>
              </w:rPr>
              <w:t>efeito</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benéfico</w:t>
            </w:r>
            <w:proofErr w:type="spellEnd"/>
            <w:r w:rsidRPr="00260486">
              <w:rPr>
                <w:rFonts w:asciiTheme="majorHAnsi" w:hAnsiTheme="majorHAnsi" w:cstheme="majorHAnsi"/>
                <w:i/>
                <w:iCs/>
              </w:rPr>
              <w:t xml:space="preserve"> </w:t>
            </w:r>
            <w:proofErr w:type="spellStart"/>
            <w:r w:rsidRPr="00260486">
              <w:rPr>
                <w:rFonts w:asciiTheme="majorHAnsi" w:hAnsiTheme="majorHAnsi" w:cstheme="majorHAnsi"/>
                <w:i/>
                <w:iCs/>
              </w:rPr>
              <w:t>geral</w:t>
            </w:r>
            <w:proofErr w:type="spellEnd"/>
            <w:r w:rsidRPr="00260486">
              <w:rPr>
                <w:rFonts w:asciiTheme="majorHAnsi" w:hAnsiTheme="majorHAnsi" w:cstheme="majorHAnsi"/>
                <w:i/>
                <w:iCs/>
              </w:rPr>
              <w:t>.</w:t>
            </w:r>
          </w:p>
          <w:p w14:paraId="138A348F" w14:textId="77777777" w:rsidR="00330CB3" w:rsidRPr="00260486" w:rsidRDefault="00330CB3" w:rsidP="00B04C3C">
            <w:pPr>
              <w:autoSpaceDE w:val="0"/>
              <w:autoSpaceDN w:val="0"/>
              <w:adjustRightInd w:val="0"/>
              <w:jc w:val="both"/>
              <w:rPr>
                <w:rFonts w:asciiTheme="majorHAnsi" w:hAnsiTheme="majorHAnsi" w:cstheme="majorHAnsi"/>
                <w:i/>
                <w:iCs/>
              </w:rPr>
            </w:pPr>
            <w:proofErr w:type="spellStart"/>
            <w:r w:rsidRPr="00F0469F">
              <w:rPr>
                <w:rFonts w:asciiTheme="majorHAnsi" w:hAnsiTheme="majorHAnsi" w:cstheme="majorHAnsi"/>
              </w:rPr>
              <w:lastRenderedPageBreak/>
              <w:t>Em</w:t>
            </w:r>
            <w:proofErr w:type="spellEnd"/>
            <w:r w:rsidRPr="00F0469F">
              <w:rPr>
                <w:rFonts w:asciiTheme="majorHAnsi" w:hAnsiTheme="majorHAnsi" w:cstheme="majorHAnsi"/>
              </w:rPr>
              <w:t xml:space="preserve"> outro </w:t>
            </w:r>
            <w:proofErr w:type="spellStart"/>
            <w:r w:rsidRPr="00F0469F">
              <w:rPr>
                <w:rFonts w:asciiTheme="majorHAnsi" w:hAnsiTheme="majorHAnsi" w:cstheme="majorHAnsi"/>
              </w:rPr>
              <w:t>trecho</w:t>
            </w:r>
            <w:proofErr w:type="spellEnd"/>
            <w:r w:rsidRPr="00F0469F">
              <w:rPr>
                <w:rFonts w:asciiTheme="majorHAnsi" w:hAnsiTheme="majorHAnsi" w:cstheme="majorHAnsi"/>
              </w:rPr>
              <w:t xml:space="preserve"> </w:t>
            </w:r>
            <w:r>
              <w:rPr>
                <w:rFonts w:asciiTheme="majorHAnsi" w:hAnsiTheme="majorHAnsi" w:cstheme="majorHAnsi"/>
              </w:rPr>
              <w:t xml:space="preserve">da </w:t>
            </w:r>
            <w:proofErr w:type="spellStart"/>
            <w:r>
              <w:rPr>
                <w:rFonts w:asciiTheme="majorHAnsi" w:hAnsiTheme="majorHAnsi" w:cstheme="majorHAnsi"/>
              </w:rPr>
              <w:t>ata</w:t>
            </w:r>
            <w:proofErr w:type="spellEnd"/>
            <w:r w:rsidRPr="00F0469F">
              <w:rPr>
                <w:rFonts w:asciiTheme="majorHAnsi" w:hAnsiTheme="majorHAnsi" w:cstheme="majorHAnsi"/>
              </w:rPr>
              <w:t>:</w:t>
            </w:r>
            <w:r w:rsidRPr="00F0469F">
              <w:rPr>
                <w:rFonts w:asciiTheme="majorHAnsi" w:hAnsiTheme="majorHAnsi" w:cstheme="majorHAnsi"/>
                <w:i/>
                <w:iCs/>
              </w:rPr>
              <w:t xml:space="preserve"> “</w:t>
            </w:r>
            <w:proofErr w:type="spellStart"/>
            <w:r w:rsidRPr="00F0469F">
              <w:rPr>
                <w:rFonts w:asciiTheme="majorHAnsi" w:hAnsiTheme="majorHAnsi" w:cstheme="majorHAnsi"/>
                <w:i/>
                <w:iCs/>
              </w:rPr>
              <w:t>Representantes</w:t>
            </w:r>
            <w:proofErr w:type="spellEnd"/>
            <w:r w:rsidRPr="00F0469F">
              <w:rPr>
                <w:rFonts w:asciiTheme="majorHAnsi" w:hAnsiTheme="majorHAnsi" w:cstheme="majorHAnsi"/>
                <w:i/>
                <w:iCs/>
              </w:rPr>
              <w:t xml:space="preserve"> do </w:t>
            </w:r>
            <w:proofErr w:type="spellStart"/>
            <w:r w:rsidRPr="00F0469F">
              <w:rPr>
                <w:rFonts w:asciiTheme="majorHAnsi" w:hAnsiTheme="majorHAnsi" w:cstheme="majorHAnsi"/>
                <w:i/>
                <w:iCs/>
              </w:rPr>
              <w:t>setor</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questionaram</w:t>
            </w:r>
            <w:proofErr w:type="spellEnd"/>
            <w:r w:rsidRPr="00F0469F">
              <w:rPr>
                <w:rFonts w:asciiTheme="majorHAnsi" w:hAnsiTheme="majorHAnsi" w:cstheme="majorHAnsi"/>
                <w:i/>
                <w:iCs/>
              </w:rPr>
              <w:t xml:space="preserve"> </w:t>
            </w:r>
            <w:proofErr w:type="gramStart"/>
            <w:r w:rsidRPr="00F0469F">
              <w:rPr>
                <w:rFonts w:asciiTheme="majorHAnsi" w:hAnsiTheme="majorHAnsi" w:cstheme="majorHAnsi"/>
                <w:i/>
                <w:iCs/>
              </w:rPr>
              <w:t>a</w:t>
            </w:r>
            <w:proofErr w:type="gramEnd"/>
            <w:r w:rsidRPr="00F0469F">
              <w:rPr>
                <w:rFonts w:asciiTheme="majorHAnsi" w:hAnsiTheme="majorHAnsi" w:cstheme="majorHAnsi"/>
                <w:i/>
                <w:iCs/>
              </w:rPr>
              <w:t xml:space="preserve"> </w:t>
            </w:r>
            <w:proofErr w:type="spellStart"/>
            <w:r w:rsidRPr="00F0469F">
              <w:rPr>
                <w:rFonts w:asciiTheme="majorHAnsi" w:hAnsiTheme="majorHAnsi" w:cstheme="majorHAnsi"/>
                <w:i/>
                <w:iCs/>
              </w:rPr>
              <w:t>exclusão</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nesta</w:t>
            </w:r>
            <w:proofErr w:type="spellEnd"/>
            <w:r w:rsidRPr="00F0469F">
              <w:rPr>
                <w:rFonts w:asciiTheme="majorHAnsi" w:hAnsiTheme="majorHAnsi" w:cstheme="majorHAnsi"/>
                <w:i/>
                <w:iCs/>
              </w:rPr>
              <w:t xml:space="preserve"> nova </w:t>
            </w:r>
            <w:proofErr w:type="spellStart"/>
            <w:r w:rsidRPr="00F0469F">
              <w:rPr>
                <w:rFonts w:asciiTheme="majorHAnsi" w:hAnsiTheme="majorHAnsi" w:cstheme="majorHAnsi"/>
                <w:i/>
                <w:iCs/>
              </w:rPr>
              <w:t>versão</w:t>
            </w:r>
            <w:proofErr w:type="spellEnd"/>
            <w:r w:rsidRPr="00F0469F">
              <w:rPr>
                <w:rFonts w:asciiTheme="majorHAnsi" w:hAnsiTheme="majorHAnsi" w:cstheme="majorHAnsi"/>
                <w:i/>
                <w:iCs/>
              </w:rPr>
              <w:t xml:space="preserve"> do </w:t>
            </w:r>
            <w:proofErr w:type="spellStart"/>
            <w:r w:rsidRPr="00F0469F">
              <w:rPr>
                <w:rFonts w:asciiTheme="majorHAnsi" w:hAnsiTheme="majorHAnsi" w:cstheme="majorHAnsi"/>
                <w:i/>
                <w:iCs/>
              </w:rPr>
              <w:t>Guia</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daqueles</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desfechos</w:t>
            </w:r>
            <w:proofErr w:type="spellEnd"/>
            <w:r w:rsidRPr="00F0469F">
              <w:rPr>
                <w:rFonts w:asciiTheme="majorHAnsi" w:hAnsiTheme="majorHAnsi" w:cstheme="majorHAnsi"/>
                <w:i/>
                <w:iCs/>
              </w:rPr>
              <w:t xml:space="preserve"> que </w:t>
            </w:r>
            <w:proofErr w:type="spellStart"/>
            <w:r w:rsidRPr="00F0469F">
              <w:rPr>
                <w:rFonts w:asciiTheme="majorHAnsi" w:hAnsiTheme="majorHAnsi" w:cstheme="majorHAnsi"/>
                <w:i/>
                <w:iCs/>
              </w:rPr>
              <w:t>seriam</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considerados</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aplicáveis</w:t>
            </w:r>
            <w:proofErr w:type="spellEnd"/>
            <w:r w:rsidRPr="00F0469F">
              <w:rPr>
                <w:rFonts w:asciiTheme="majorHAnsi" w:hAnsiTheme="majorHAnsi" w:cstheme="majorHAnsi"/>
                <w:i/>
                <w:iCs/>
              </w:rPr>
              <w:t xml:space="preserve"> para a </w:t>
            </w:r>
            <w:proofErr w:type="spellStart"/>
            <w:r w:rsidRPr="00F0469F">
              <w:rPr>
                <w:rFonts w:asciiTheme="majorHAnsi" w:hAnsiTheme="majorHAnsi" w:cstheme="majorHAnsi"/>
                <w:i/>
                <w:iCs/>
              </w:rPr>
              <w:t>sustentação</w:t>
            </w:r>
            <w:proofErr w:type="spellEnd"/>
            <w:r w:rsidRPr="00F0469F">
              <w:rPr>
                <w:rFonts w:asciiTheme="majorHAnsi" w:hAnsiTheme="majorHAnsi" w:cstheme="majorHAnsi"/>
                <w:i/>
                <w:iCs/>
              </w:rPr>
              <w:t xml:space="preserve"> de </w:t>
            </w:r>
            <w:proofErr w:type="spellStart"/>
            <w:r w:rsidRPr="00F0469F">
              <w:rPr>
                <w:rFonts w:asciiTheme="majorHAnsi" w:hAnsiTheme="majorHAnsi" w:cstheme="majorHAnsi"/>
                <w:i/>
                <w:iCs/>
              </w:rPr>
              <w:t>uma</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alegação</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geral</w:t>
            </w:r>
            <w:proofErr w:type="spellEnd"/>
            <w:r>
              <w:rPr>
                <w:rFonts w:asciiTheme="majorHAnsi" w:hAnsiTheme="majorHAnsi" w:cstheme="majorHAnsi"/>
                <w:i/>
                <w:iCs/>
              </w:rPr>
              <w:t xml:space="preserve"> </w:t>
            </w:r>
            <w:r w:rsidRPr="00F0469F">
              <w:rPr>
                <w:rFonts w:asciiTheme="majorHAnsi" w:hAnsiTheme="majorHAnsi" w:cstheme="majorHAnsi"/>
                <w:i/>
                <w:iCs/>
              </w:rPr>
              <w:t xml:space="preserve">de </w:t>
            </w:r>
            <w:proofErr w:type="spellStart"/>
            <w:r w:rsidRPr="00F0469F">
              <w:rPr>
                <w:rFonts w:asciiTheme="majorHAnsi" w:hAnsiTheme="majorHAnsi" w:cstheme="majorHAnsi"/>
                <w:i/>
                <w:iCs/>
              </w:rPr>
              <w:t>saúde</w:t>
            </w:r>
            <w:proofErr w:type="spellEnd"/>
            <w:r w:rsidRPr="00F0469F">
              <w:rPr>
                <w:rFonts w:asciiTheme="majorHAnsi" w:hAnsiTheme="majorHAnsi" w:cstheme="majorHAnsi"/>
                <w:i/>
                <w:iCs/>
              </w:rPr>
              <w:t xml:space="preserve"> gastrointestinal. </w:t>
            </w:r>
            <w:proofErr w:type="spellStart"/>
            <w:r w:rsidRPr="00F0469F">
              <w:rPr>
                <w:rFonts w:asciiTheme="majorHAnsi" w:hAnsiTheme="majorHAnsi" w:cstheme="majorHAnsi"/>
                <w:i/>
                <w:iCs/>
              </w:rPr>
              <w:t>Em</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resposta</w:t>
            </w:r>
            <w:proofErr w:type="spellEnd"/>
            <w:r w:rsidRPr="00F0469F">
              <w:rPr>
                <w:rFonts w:asciiTheme="majorHAnsi" w:hAnsiTheme="majorHAnsi" w:cstheme="majorHAnsi"/>
                <w:i/>
                <w:iCs/>
              </w:rPr>
              <w:t xml:space="preserve">, a GGALI </w:t>
            </w:r>
            <w:proofErr w:type="spellStart"/>
            <w:r w:rsidRPr="00F0469F">
              <w:rPr>
                <w:rFonts w:asciiTheme="majorHAnsi" w:hAnsiTheme="majorHAnsi" w:cstheme="majorHAnsi"/>
                <w:i/>
                <w:iCs/>
              </w:rPr>
              <w:t>explicou</w:t>
            </w:r>
            <w:proofErr w:type="spellEnd"/>
            <w:r w:rsidRPr="00F0469F">
              <w:rPr>
                <w:rFonts w:asciiTheme="majorHAnsi" w:hAnsiTheme="majorHAnsi" w:cstheme="majorHAnsi"/>
                <w:i/>
                <w:iCs/>
              </w:rPr>
              <w:t xml:space="preserve"> que </w:t>
            </w:r>
            <w:proofErr w:type="spellStart"/>
            <w:r w:rsidRPr="00F0469F">
              <w:rPr>
                <w:rFonts w:asciiTheme="majorHAnsi" w:hAnsiTheme="majorHAnsi" w:cstheme="majorHAnsi"/>
                <w:i/>
                <w:iCs/>
              </w:rPr>
              <w:t>sua</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exclusão</w:t>
            </w:r>
            <w:proofErr w:type="spellEnd"/>
            <w:r w:rsidRPr="00F0469F">
              <w:rPr>
                <w:rFonts w:asciiTheme="majorHAnsi" w:hAnsiTheme="majorHAnsi" w:cstheme="majorHAnsi"/>
                <w:i/>
                <w:iCs/>
              </w:rPr>
              <w:t xml:space="preserve"> se </w:t>
            </w:r>
            <w:proofErr w:type="spellStart"/>
            <w:r w:rsidRPr="00F0469F">
              <w:rPr>
                <w:rFonts w:asciiTheme="majorHAnsi" w:hAnsiTheme="majorHAnsi" w:cstheme="majorHAnsi"/>
                <w:i/>
                <w:iCs/>
              </w:rPr>
              <w:t>deveu</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simplesmente</w:t>
            </w:r>
            <w:proofErr w:type="spellEnd"/>
            <w:r w:rsidRPr="00F0469F">
              <w:rPr>
                <w:rFonts w:asciiTheme="majorHAnsi" w:hAnsiTheme="majorHAnsi" w:cstheme="majorHAnsi"/>
                <w:i/>
                <w:iCs/>
              </w:rPr>
              <w:t xml:space="preserve"> à </w:t>
            </w:r>
            <w:proofErr w:type="spellStart"/>
            <w:r w:rsidRPr="00F0469F">
              <w:rPr>
                <w:rFonts w:asciiTheme="majorHAnsi" w:hAnsiTheme="majorHAnsi" w:cstheme="majorHAnsi"/>
                <w:i/>
                <w:iCs/>
              </w:rPr>
              <w:t>mudança</w:t>
            </w:r>
            <w:proofErr w:type="spellEnd"/>
            <w:r w:rsidRPr="00F0469F">
              <w:rPr>
                <w:rFonts w:asciiTheme="majorHAnsi" w:hAnsiTheme="majorHAnsi" w:cstheme="majorHAnsi"/>
                <w:i/>
                <w:iCs/>
              </w:rPr>
              <w:t xml:space="preserve"> de </w:t>
            </w:r>
            <w:proofErr w:type="spellStart"/>
            <w:r w:rsidRPr="00F0469F">
              <w:rPr>
                <w:rFonts w:asciiTheme="majorHAnsi" w:hAnsiTheme="majorHAnsi" w:cstheme="majorHAnsi"/>
                <w:i/>
                <w:iCs/>
              </w:rPr>
              <w:t>entendimento</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b/>
                <w:bCs/>
                <w:i/>
                <w:iCs/>
              </w:rPr>
              <w:t>sobre</w:t>
            </w:r>
            <w:proofErr w:type="spellEnd"/>
            <w:r w:rsidRPr="00F0469F">
              <w:rPr>
                <w:rFonts w:asciiTheme="majorHAnsi" w:hAnsiTheme="majorHAnsi" w:cstheme="majorHAnsi"/>
                <w:b/>
                <w:bCs/>
                <w:i/>
                <w:iCs/>
              </w:rPr>
              <w:t xml:space="preserve"> </w:t>
            </w:r>
            <w:proofErr w:type="gramStart"/>
            <w:r w:rsidRPr="00F0469F">
              <w:rPr>
                <w:rFonts w:asciiTheme="majorHAnsi" w:hAnsiTheme="majorHAnsi" w:cstheme="majorHAnsi"/>
                <w:b/>
                <w:bCs/>
                <w:i/>
                <w:iCs/>
              </w:rPr>
              <w:t>a</w:t>
            </w:r>
            <w:proofErr w:type="gramEnd"/>
            <w:r w:rsidRPr="00F0469F">
              <w:rPr>
                <w:rFonts w:asciiTheme="majorHAnsi" w:hAnsiTheme="majorHAnsi" w:cstheme="majorHAnsi"/>
                <w:b/>
                <w:bCs/>
                <w:i/>
                <w:iCs/>
              </w:rPr>
              <w:t xml:space="preserve"> </w:t>
            </w:r>
            <w:proofErr w:type="spellStart"/>
            <w:r w:rsidRPr="00F0469F">
              <w:rPr>
                <w:rFonts w:asciiTheme="majorHAnsi" w:hAnsiTheme="majorHAnsi" w:cstheme="majorHAnsi"/>
                <w:b/>
                <w:bCs/>
                <w:i/>
                <w:iCs/>
              </w:rPr>
              <w:t>aplicação</w:t>
            </w:r>
            <w:proofErr w:type="spellEnd"/>
            <w:r w:rsidRPr="00F0469F">
              <w:rPr>
                <w:rFonts w:asciiTheme="majorHAnsi" w:hAnsiTheme="majorHAnsi" w:cstheme="majorHAnsi"/>
                <w:b/>
                <w:bCs/>
                <w:i/>
                <w:iCs/>
              </w:rPr>
              <w:t xml:space="preserve"> de </w:t>
            </w:r>
            <w:proofErr w:type="spellStart"/>
            <w:r w:rsidRPr="00F0469F">
              <w:rPr>
                <w:rFonts w:asciiTheme="majorHAnsi" w:hAnsiTheme="majorHAnsi" w:cstheme="majorHAnsi"/>
                <w:b/>
                <w:bCs/>
                <w:i/>
                <w:iCs/>
              </w:rPr>
              <w:t>uma</w:t>
            </w:r>
            <w:proofErr w:type="spellEnd"/>
            <w:r w:rsidRPr="00F0469F">
              <w:rPr>
                <w:rFonts w:asciiTheme="majorHAnsi" w:hAnsiTheme="majorHAnsi" w:cstheme="majorHAnsi"/>
                <w:b/>
                <w:bCs/>
                <w:i/>
                <w:iCs/>
              </w:rPr>
              <w:t xml:space="preserve"> </w:t>
            </w:r>
            <w:proofErr w:type="spellStart"/>
            <w:r w:rsidRPr="00F0469F">
              <w:rPr>
                <w:rFonts w:asciiTheme="majorHAnsi" w:hAnsiTheme="majorHAnsi" w:cstheme="majorHAnsi"/>
                <w:b/>
                <w:bCs/>
                <w:i/>
                <w:iCs/>
              </w:rPr>
              <w:t>alegação</w:t>
            </w:r>
            <w:proofErr w:type="spellEnd"/>
            <w:r w:rsidRPr="00F0469F">
              <w:rPr>
                <w:rFonts w:asciiTheme="majorHAnsi" w:hAnsiTheme="majorHAnsi" w:cstheme="majorHAnsi"/>
                <w:b/>
                <w:bCs/>
                <w:i/>
                <w:iCs/>
              </w:rPr>
              <w:t xml:space="preserve"> </w:t>
            </w:r>
            <w:proofErr w:type="spellStart"/>
            <w:r w:rsidRPr="00F0469F">
              <w:rPr>
                <w:rFonts w:asciiTheme="majorHAnsi" w:hAnsiTheme="majorHAnsi" w:cstheme="majorHAnsi"/>
                <w:b/>
                <w:bCs/>
                <w:i/>
                <w:iCs/>
              </w:rPr>
              <w:t>geral</w:t>
            </w:r>
            <w:proofErr w:type="spellEnd"/>
            <w:r w:rsidRPr="00F0469F">
              <w:rPr>
                <w:rFonts w:asciiTheme="majorHAnsi" w:hAnsiTheme="majorHAnsi" w:cstheme="majorHAnsi"/>
                <w:b/>
                <w:bCs/>
                <w:i/>
                <w:iCs/>
              </w:rPr>
              <w:t xml:space="preserve">, que </w:t>
            </w:r>
            <w:proofErr w:type="spellStart"/>
            <w:r w:rsidRPr="00F0469F">
              <w:rPr>
                <w:rFonts w:asciiTheme="majorHAnsi" w:hAnsiTheme="majorHAnsi" w:cstheme="majorHAnsi"/>
                <w:b/>
                <w:bCs/>
                <w:i/>
                <w:iCs/>
              </w:rPr>
              <w:t>não</w:t>
            </w:r>
            <w:proofErr w:type="spellEnd"/>
            <w:r w:rsidRPr="00F0469F">
              <w:rPr>
                <w:rFonts w:asciiTheme="majorHAnsi" w:hAnsiTheme="majorHAnsi" w:cstheme="majorHAnsi"/>
                <w:b/>
                <w:bCs/>
                <w:i/>
                <w:iCs/>
              </w:rPr>
              <w:t xml:space="preserve"> </w:t>
            </w:r>
            <w:proofErr w:type="spellStart"/>
            <w:r w:rsidRPr="00F0469F">
              <w:rPr>
                <w:rFonts w:asciiTheme="majorHAnsi" w:hAnsiTheme="majorHAnsi" w:cstheme="majorHAnsi"/>
                <w:b/>
                <w:bCs/>
                <w:i/>
                <w:iCs/>
              </w:rPr>
              <w:t>estaria</w:t>
            </w:r>
            <w:proofErr w:type="spellEnd"/>
            <w:r w:rsidRPr="00F0469F">
              <w:rPr>
                <w:rFonts w:asciiTheme="majorHAnsi" w:hAnsiTheme="majorHAnsi" w:cstheme="majorHAnsi"/>
                <w:b/>
                <w:bCs/>
                <w:i/>
                <w:iCs/>
              </w:rPr>
              <w:t xml:space="preserve"> </w:t>
            </w:r>
            <w:proofErr w:type="spellStart"/>
            <w:r w:rsidRPr="00F0469F">
              <w:rPr>
                <w:rFonts w:asciiTheme="majorHAnsi" w:hAnsiTheme="majorHAnsi" w:cstheme="majorHAnsi"/>
                <w:b/>
                <w:bCs/>
                <w:i/>
                <w:iCs/>
              </w:rPr>
              <w:t>mais</w:t>
            </w:r>
            <w:proofErr w:type="spellEnd"/>
            <w:r w:rsidRPr="00F0469F">
              <w:rPr>
                <w:rFonts w:asciiTheme="majorHAnsi" w:hAnsiTheme="majorHAnsi" w:cstheme="majorHAnsi"/>
                <w:b/>
                <w:bCs/>
                <w:i/>
                <w:iCs/>
              </w:rPr>
              <w:t xml:space="preserve"> </w:t>
            </w:r>
            <w:proofErr w:type="spellStart"/>
            <w:r w:rsidRPr="00F0469F">
              <w:rPr>
                <w:rFonts w:asciiTheme="majorHAnsi" w:hAnsiTheme="majorHAnsi" w:cstheme="majorHAnsi"/>
                <w:b/>
                <w:bCs/>
                <w:i/>
                <w:iCs/>
              </w:rPr>
              <w:t>restrita</w:t>
            </w:r>
            <w:proofErr w:type="spellEnd"/>
            <w:r w:rsidRPr="00F0469F">
              <w:rPr>
                <w:rFonts w:asciiTheme="majorHAnsi" w:hAnsiTheme="majorHAnsi" w:cstheme="majorHAnsi"/>
                <w:b/>
                <w:bCs/>
                <w:i/>
                <w:iCs/>
              </w:rPr>
              <w:t xml:space="preserve"> à </w:t>
            </w:r>
            <w:proofErr w:type="spellStart"/>
            <w:r w:rsidRPr="00F0469F">
              <w:rPr>
                <w:rFonts w:asciiTheme="majorHAnsi" w:hAnsiTheme="majorHAnsi" w:cstheme="majorHAnsi"/>
                <w:b/>
                <w:bCs/>
                <w:i/>
                <w:iCs/>
              </w:rPr>
              <w:t>saúde</w:t>
            </w:r>
            <w:proofErr w:type="spellEnd"/>
            <w:r w:rsidRPr="00F0469F">
              <w:rPr>
                <w:rFonts w:asciiTheme="majorHAnsi" w:hAnsiTheme="majorHAnsi" w:cstheme="majorHAnsi"/>
                <w:b/>
                <w:bCs/>
                <w:i/>
                <w:iCs/>
              </w:rPr>
              <w:t xml:space="preserve"> gastrointestinal</w:t>
            </w:r>
            <w:r w:rsidRPr="00F0469F">
              <w:rPr>
                <w:rFonts w:asciiTheme="majorHAnsi" w:hAnsiTheme="majorHAnsi" w:cstheme="majorHAnsi"/>
                <w:i/>
                <w:iCs/>
              </w:rPr>
              <w:t>.</w:t>
            </w:r>
          </w:p>
        </w:tc>
        <w:tc>
          <w:tcPr>
            <w:tcW w:w="3827" w:type="dxa"/>
          </w:tcPr>
          <w:p w14:paraId="380EFF6E" w14:textId="77777777" w:rsidR="00330CB3" w:rsidRPr="00F0469F" w:rsidRDefault="00330CB3" w:rsidP="00B04C3C">
            <w:pPr>
              <w:jc w:val="both"/>
              <w:rPr>
                <w:rFonts w:asciiTheme="majorHAnsi" w:hAnsiTheme="majorHAnsi" w:cstheme="majorHAnsi"/>
                <w:i/>
                <w:iCs/>
              </w:rPr>
            </w:pPr>
            <w:r w:rsidRPr="00F0469F">
              <w:rPr>
                <w:rFonts w:asciiTheme="majorHAnsi" w:hAnsiTheme="majorHAnsi" w:cstheme="majorHAnsi"/>
              </w:rPr>
              <w:lastRenderedPageBreak/>
              <w:t xml:space="preserve">A </w:t>
            </w:r>
            <w:proofErr w:type="spellStart"/>
            <w:r w:rsidRPr="00F0469F">
              <w:rPr>
                <w:rFonts w:asciiTheme="majorHAnsi" w:hAnsiTheme="majorHAnsi" w:cstheme="majorHAnsi"/>
              </w:rPr>
              <w:t>versão</w:t>
            </w:r>
            <w:proofErr w:type="spellEnd"/>
            <w:r w:rsidRPr="00F0469F">
              <w:rPr>
                <w:rFonts w:asciiTheme="majorHAnsi" w:hAnsiTheme="majorHAnsi" w:cstheme="majorHAnsi"/>
              </w:rPr>
              <w:t xml:space="preserve"> 2 do GUIA </w:t>
            </w:r>
            <w:proofErr w:type="spellStart"/>
            <w:r w:rsidRPr="00F0469F">
              <w:rPr>
                <w:rFonts w:asciiTheme="majorHAnsi" w:hAnsiTheme="majorHAnsi" w:cstheme="majorHAnsi"/>
              </w:rPr>
              <w:t>não</w:t>
            </w:r>
            <w:proofErr w:type="spellEnd"/>
            <w:r w:rsidRPr="00F0469F">
              <w:rPr>
                <w:rFonts w:asciiTheme="majorHAnsi" w:hAnsiTheme="majorHAnsi" w:cstheme="majorHAnsi"/>
              </w:rPr>
              <w:t xml:space="preserve"> </w:t>
            </w:r>
            <w:proofErr w:type="spellStart"/>
            <w:r w:rsidRPr="00F0469F">
              <w:rPr>
                <w:rFonts w:asciiTheme="majorHAnsi" w:hAnsiTheme="majorHAnsi" w:cstheme="majorHAnsi"/>
              </w:rPr>
              <w:t>reflete</w:t>
            </w:r>
            <w:proofErr w:type="spellEnd"/>
            <w:r w:rsidRPr="00F0469F">
              <w:rPr>
                <w:rFonts w:asciiTheme="majorHAnsi" w:hAnsiTheme="majorHAnsi" w:cstheme="majorHAnsi"/>
              </w:rPr>
              <w:t xml:space="preserve"> a </w:t>
            </w:r>
            <w:proofErr w:type="spellStart"/>
            <w:r w:rsidRPr="00F0469F">
              <w:rPr>
                <w:rFonts w:asciiTheme="majorHAnsi" w:hAnsiTheme="majorHAnsi" w:cstheme="majorHAnsi"/>
              </w:rPr>
              <w:t>possibilidade</w:t>
            </w:r>
            <w:proofErr w:type="spellEnd"/>
            <w:r w:rsidRPr="00F0469F">
              <w:rPr>
                <w:rFonts w:asciiTheme="majorHAnsi" w:hAnsiTheme="majorHAnsi" w:cstheme="majorHAnsi"/>
              </w:rPr>
              <w:t xml:space="preserve">, </w:t>
            </w:r>
            <w:proofErr w:type="spellStart"/>
            <w:r w:rsidRPr="00F0469F">
              <w:rPr>
                <w:rFonts w:asciiTheme="majorHAnsi" w:hAnsiTheme="majorHAnsi" w:cstheme="majorHAnsi"/>
              </w:rPr>
              <w:t>inicialmente</w:t>
            </w:r>
            <w:proofErr w:type="spellEnd"/>
            <w:r w:rsidRPr="00F0469F">
              <w:rPr>
                <w:rFonts w:asciiTheme="majorHAnsi" w:hAnsiTheme="majorHAnsi" w:cstheme="majorHAnsi"/>
              </w:rPr>
              <w:t xml:space="preserve"> </w:t>
            </w:r>
            <w:proofErr w:type="spellStart"/>
            <w:r w:rsidRPr="00F0469F">
              <w:rPr>
                <w:rFonts w:asciiTheme="majorHAnsi" w:hAnsiTheme="majorHAnsi" w:cstheme="majorHAnsi"/>
              </w:rPr>
              <w:t>discutida</w:t>
            </w:r>
            <w:proofErr w:type="spellEnd"/>
            <w:r w:rsidRPr="00F0469F">
              <w:rPr>
                <w:rFonts w:asciiTheme="majorHAnsi" w:hAnsiTheme="majorHAnsi" w:cstheme="majorHAnsi"/>
              </w:rPr>
              <w:t xml:space="preserve"> com o </w:t>
            </w:r>
            <w:proofErr w:type="spellStart"/>
            <w:r w:rsidRPr="00F0469F">
              <w:rPr>
                <w:rFonts w:asciiTheme="majorHAnsi" w:hAnsiTheme="majorHAnsi" w:cstheme="majorHAnsi"/>
              </w:rPr>
              <w:t>setor</w:t>
            </w:r>
            <w:proofErr w:type="spellEnd"/>
            <w:r w:rsidRPr="00F0469F">
              <w:rPr>
                <w:rFonts w:asciiTheme="majorHAnsi" w:hAnsiTheme="majorHAnsi" w:cstheme="majorHAnsi"/>
              </w:rPr>
              <w:t xml:space="preserve"> </w:t>
            </w:r>
            <w:proofErr w:type="spellStart"/>
            <w:r w:rsidRPr="00F0469F">
              <w:rPr>
                <w:rFonts w:asciiTheme="majorHAnsi" w:hAnsiTheme="majorHAnsi" w:cstheme="majorHAnsi"/>
              </w:rPr>
              <w:t>sobre</w:t>
            </w:r>
            <w:proofErr w:type="spellEnd"/>
            <w:r w:rsidRPr="00F0469F">
              <w:rPr>
                <w:rFonts w:asciiTheme="majorHAnsi" w:hAnsiTheme="majorHAnsi" w:cstheme="majorHAnsi"/>
              </w:rPr>
              <w:t xml:space="preserve"> </w:t>
            </w:r>
            <w:proofErr w:type="spellStart"/>
            <w:r w:rsidRPr="00F0469F">
              <w:rPr>
                <w:rFonts w:asciiTheme="majorHAnsi" w:hAnsiTheme="majorHAnsi" w:cstheme="majorHAnsi"/>
              </w:rPr>
              <w:t>alegação</w:t>
            </w:r>
            <w:proofErr w:type="spellEnd"/>
            <w:r w:rsidRPr="00F0469F">
              <w:rPr>
                <w:rFonts w:asciiTheme="majorHAnsi" w:hAnsiTheme="majorHAnsi" w:cstheme="majorHAnsi"/>
              </w:rPr>
              <w:t xml:space="preserve"> </w:t>
            </w:r>
            <w:proofErr w:type="spellStart"/>
            <w:r w:rsidRPr="00F0469F">
              <w:rPr>
                <w:rFonts w:asciiTheme="majorHAnsi" w:hAnsiTheme="majorHAnsi" w:cstheme="majorHAnsi"/>
              </w:rPr>
              <w:t>geral</w:t>
            </w:r>
            <w:proofErr w:type="spellEnd"/>
            <w:r w:rsidRPr="00F0469F">
              <w:rPr>
                <w:rFonts w:asciiTheme="majorHAnsi" w:hAnsiTheme="majorHAnsi" w:cstheme="majorHAnsi"/>
              </w:rPr>
              <w:t xml:space="preserve">, </w:t>
            </w:r>
            <w:proofErr w:type="spellStart"/>
            <w:r w:rsidRPr="00F0469F">
              <w:rPr>
                <w:rFonts w:asciiTheme="majorHAnsi" w:hAnsiTheme="majorHAnsi" w:cstheme="majorHAnsi"/>
              </w:rPr>
              <w:t>em</w:t>
            </w:r>
            <w:proofErr w:type="spellEnd"/>
            <w:r w:rsidRPr="00F0469F">
              <w:rPr>
                <w:rFonts w:asciiTheme="majorHAnsi" w:hAnsiTheme="majorHAnsi" w:cstheme="majorHAnsi"/>
              </w:rPr>
              <w:t xml:space="preserve"> </w:t>
            </w:r>
            <w:proofErr w:type="spellStart"/>
            <w:r w:rsidRPr="00F0469F">
              <w:rPr>
                <w:rFonts w:asciiTheme="majorHAnsi" w:hAnsiTheme="majorHAnsi" w:cstheme="majorHAnsi"/>
              </w:rPr>
              <w:t>relação</w:t>
            </w:r>
            <w:proofErr w:type="spellEnd"/>
            <w:r w:rsidRPr="00F0469F">
              <w:rPr>
                <w:rFonts w:asciiTheme="majorHAnsi" w:hAnsiTheme="majorHAnsi" w:cstheme="majorHAnsi"/>
              </w:rPr>
              <w:t xml:space="preserve"> </w:t>
            </w:r>
            <w:proofErr w:type="spellStart"/>
            <w:r w:rsidRPr="00F0469F">
              <w:rPr>
                <w:rFonts w:asciiTheme="majorHAnsi" w:hAnsiTheme="majorHAnsi" w:cstheme="majorHAnsi"/>
              </w:rPr>
              <w:t>ao</w:t>
            </w:r>
            <w:proofErr w:type="spellEnd"/>
            <w:r w:rsidRPr="00F0469F">
              <w:rPr>
                <w:rFonts w:asciiTheme="majorHAnsi" w:hAnsiTheme="majorHAnsi" w:cstheme="majorHAnsi"/>
              </w:rPr>
              <w:t xml:space="preserve"> </w:t>
            </w:r>
            <w:proofErr w:type="spellStart"/>
            <w:r w:rsidRPr="00F0469F">
              <w:rPr>
                <w:rFonts w:asciiTheme="majorHAnsi" w:hAnsiTheme="majorHAnsi" w:cstheme="majorHAnsi"/>
              </w:rPr>
              <w:t>sistema</w:t>
            </w:r>
            <w:proofErr w:type="spellEnd"/>
            <w:r w:rsidRPr="00F0469F">
              <w:rPr>
                <w:rFonts w:asciiTheme="majorHAnsi" w:hAnsiTheme="majorHAnsi" w:cstheme="majorHAnsi"/>
              </w:rPr>
              <w:t xml:space="preserve"> </w:t>
            </w:r>
            <w:proofErr w:type="spellStart"/>
            <w:r w:rsidRPr="00F0469F">
              <w:rPr>
                <w:rFonts w:asciiTheme="majorHAnsi" w:hAnsiTheme="majorHAnsi" w:cstheme="majorHAnsi"/>
              </w:rPr>
              <w:t>imune</w:t>
            </w:r>
            <w:proofErr w:type="spellEnd"/>
            <w:r w:rsidRPr="00F0469F">
              <w:rPr>
                <w:rFonts w:asciiTheme="majorHAnsi" w:hAnsiTheme="majorHAnsi" w:cstheme="majorHAnsi"/>
              </w:rPr>
              <w:t xml:space="preserve"> com a </w:t>
            </w:r>
            <w:proofErr w:type="spellStart"/>
            <w:r w:rsidRPr="00F0469F">
              <w:rPr>
                <w:rFonts w:asciiTheme="majorHAnsi" w:hAnsiTheme="majorHAnsi" w:cstheme="majorHAnsi"/>
              </w:rPr>
              <w:t>justificativa</w:t>
            </w:r>
            <w:proofErr w:type="spellEnd"/>
            <w:r w:rsidRPr="00F0469F">
              <w:rPr>
                <w:rFonts w:asciiTheme="majorHAnsi" w:hAnsiTheme="majorHAnsi" w:cstheme="majorHAnsi"/>
              </w:rPr>
              <w:t xml:space="preserve"> de que </w:t>
            </w:r>
            <w:proofErr w:type="spellStart"/>
            <w:r w:rsidRPr="00F0469F">
              <w:rPr>
                <w:rFonts w:asciiTheme="majorHAnsi" w:hAnsiTheme="majorHAnsi" w:cstheme="majorHAnsi"/>
              </w:rPr>
              <w:t>seriam</w:t>
            </w:r>
            <w:proofErr w:type="spellEnd"/>
            <w:r w:rsidRPr="00F0469F">
              <w:rPr>
                <w:rFonts w:asciiTheme="majorHAnsi" w:hAnsiTheme="majorHAnsi" w:cstheme="majorHAnsi"/>
              </w:rPr>
              <w:t xml:space="preserve"> “</w:t>
            </w:r>
            <w:proofErr w:type="spellStart"/>
            <w:r w:rsidRPr="00F0469F">
              <w:rPr>
                <w:rFonts w:asciiTheme="majorHAnsi" w:hAnsiTheme="majorHAnsi" w:cstheme="majorHAnsi"/>
              </w:rPr>
              <w:t>enganosas</w:t>
            </w:r>
            <w:proofErr w:type="spellEnd"/>
            <w:r w:rsidRPr="00F0469F">
              <w:rPr>
                <w:rFonts w:asciiTheme="majorHAnsi" w:hAnsiTheme="majorHAnsi" w:cstheme="majorHAnsi"/>
              </w:rPr>
              <w:t xml:space="preserve">” </w:t>
            </w:r>
            <w:proofErr w:type="spellStart"/>
            <w:r w:rsidRPr="00F0469F">
              <w:rPr>
                <w:rFonts w:asciiTheme="majorHAnsi" w:hAnsiTheme="majorHAnsi" w:cstheme="majorHAnsi"/>
              </w:rPr>
              <w:t>ao</w:t>
            </w:r>
            <w:proofErr w:type="spellEnd"/>
            <w:r w:rsidRPr="00F0469F">
              <w:rPr>
                <w:rFonts w:asciiTheme="majorHAnsi" w:hAnsiTheme="majorHAnsi" w:cstheme="majorHAnsi"/>
              </w:rPr>
              <w:t xml:space="preserve"> </w:t>
            </w:r>
            <w:proofErr w:type="spellStart"/>
            <w:r w:rsidRPr="00F0469F">
              <w:rPr>
                <w:rFonts w:asciiTheme="majorHAnsi" w:hAnsiTheme="majorHAnsi" w:cstheme="majorHAnsi"/>
              </w:rPr>
              <w:t>consumidor</w:t>
            </w:r>
            <w:proofErr w:type="spellEnd"/>
            <w:r w:rsidRPr="00F0469F">
              <w:rPr>
                <w:rFonts w:asciiTheme="majorHAnsi" w:hAnsiTheme="majorHAnsi" w:cstheme="majorHAnsi"/>
              </w:rPr>
              <w:t xml:space="preserve">:  item </w:t>
            </w:r>
            <w:r w:rsidRPr="00F0469F">
              <w:rPr>
                <w:rFonts w:asciiTheme="majorHAnsi" w:hAnsiTheme="majorHAnsi" w:cstheme="majorHAnsi"/>
                <w:i/>
                <w:iCs/>
                <w:color w:val="002060"/>
              </w:rPr>
              <w:t xml:space="preserve">“6.1. </w:t>
            </w:r>
          </w:p>
          <w:p w14:paraId="326A029E" w14:textId="77777777" w:rsidR="00330CB3" w:rsidRPr="00F0469F" w:rsidRDefault="00330CB3" w:rsidP="00B04C3C">
            <w:pPr>
              <w:jc w:val="both"/>
              <w:rPr>
                <w:rFonts w:asciiTheme="majorHAnsi" w:hAnsiTheme="majorHAnsi" w:cstheme="majorHAnsi"/>
              </w:rPr>
            </w:pPr>
            <w:r w:rsidRPr="00F0469F">
              <w:rPr>
                <w:rFonts w:asciiTheme="majorHAnsi" w:hAnsiTheme="majorHAnsi" w:cstheme="majorHAnsi"/>
                <w:i/>
                <w:iCs/>
                <w:color w:val="002060"/>
              </w:rPr>
              <w:t>(...)</w:t>
            </w:r>
            <w:proofErr w:type="spellStart"/>
            <w:r w:rsidRPr="00F0469F">
              <w:rPr>
                <w:rFonts w:asciiTheme="majorHAnsi" w:hAnsiTheme="majorHAnsi" w:cstheme="majorHAnsi"/>
                <w:i/>
                <w:iCs/>
                <w:color w:val="002060"/>
              </w:rPr>
              <w:t>Assim</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ressaltamos</w:t>
            </w:r>
            <w:proofErr w:type="spellEnd"/>
            <w:r w:rsidRPr="00F0469F">
              <w:rPr>
                <w:rFonts w:asciiTheme="majorHAnsi" w:hAnsiTheme="majorHAnsi" w:cstheme="majorHAnsi"/>
                <w:i/>
                <w:iCs/>
                <w:color w:val="002060"/>
              </w:rPr>
              <w:t xml:space="preserve"> que as </w:t>
            </w:r>
            <w:proofErr w:type="spellStart"/>
            <w:r w:rsidRPr="00F0469F">
              <w:rPr>
                <w:rFonts w:asciiTheme="majorHAnsi" w:hAnsiTheme="majorHAnsi" w:cstheme="majorHAnsi"/>
                <w:i/>
                <w:iCs/>
                <w:color w:val="002060"/>
              </w:rPr>
              <w:t>alegações</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gerais</w:t>
            </w:r>
            <w:proofErr w:type="spellEnd"/>
            <w:r w:rsidRPr="00F0469F">
              <w:rPr>
                <w:rFonts w:asciiTheme="majorHAnsi" w:hAnsiTheme="majorHAnsi" w:cstheme="majorHAnsi"/>
                <w:i/>
                <w:iCs/>
                <w:color w:val="002060"/>
              </w:rPr>
              <w:t xml:space="preserve"> de </w:t>
            </w:r>
            <w:proofErr w:type="spellStart"/>
            <w:r w:rsidRPr="00F0469F">
              <w:rPr>
                <w:rFonts w:asciiTheme="majorHAnsi" w:hAnsiTheme="majorHAnsi" w:cstheme="majorHAnsi"/>
                <w:i/>
                <w:iCs/>
                <w:color w:val="002060"/>
              </w:rPr>
              <w:t>probióticos</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são</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atribuídas</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mais</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facilmente</w:t>
            </w:r>
            <w:proofErr w:type="spellEnd"/>
            <w:r w:rsidRPr="00F0469F">
              <w:rPr>
                <w:rFonts w:asciiTheme="majorHAnsi" w:hAnsiTheme="majorHAnsi" w:cstheme="majorHAnsi"/>
                <w:i/>
                <w:iCs/>
                <w:color w:val="002060"/>
              </w:rPr>
              <w:t xml:space="preserve"> à </w:t>
            </w:r>
            <w:proofErr w:type="spellStart"/>
            <w:r w:rsidRPr="00F0469F">
              <w:rPr>
                <w:rFonts w:asciiTheme="majorHAnsi" w:hAnsiTheme="majorHAnsi" w:cstheme="majorHAnsi"/>
                <w:i/>
                <w:iCs/>
                <w:color w:val="002060"/>
              </w:rPr>
              <w:t>saúde</w:t>
            </w:r>
            <w:proofErr w:type="spellEnd"/>
            <w:r w:rsidRPr="00F0469F">
              <w:rPr>
                <w:rFonts w:asciiTheme="majorHAnsi" w:hAnsiTheme="majorHAnsi" w:cstheme="majorHAnsi"/>
                <w:i/>
                <w:iCs/>
                <w:color w:val="002060"/>
              </w:rPr>
              <w:t xml:space="preserve"> do </w:t>
            </w:r>
            <w:proofErr w:type="spellStart"/>
            <w:r w:rsidRPr="00F0469F">
              <w:rPr>
                <w:rFonts w:asciiTheme="majorHAnsi" w:hAnsiTheme="majorHAnsi" w:cstheme="majorHAnsi"/>
                <w:i/>
                <w:iCs/>
                <w:color w:val="002060"/>
              </w:rPr>
              <w:t>trato</w:t>
            </w:r>
            <w:proofErr w:type="spellEnd"/>
            <w:r w:rsidRPr="00F0469F">
              <w:rPr>
                <w:rFonts w:asciiTheme="majorHAnsi" w:hAnsiTheme="majorHAnsi" w:cstheme="majorHAnsi"/>
                <w:i/>
                <w:iCs/>
                <w:color w:val="002060"/>
              </w:rPr>
              <w:t xml:space="preserve"> gastrointestinal, local no qual </w:t>
            </w:r>
            <w:proofErr w:type="spellStart"/>
            <w:r w:rsidRPr="00F0469F">
              <w:rPr>
                <w:rFonts w:asciiTheme="majorHAnsi" w:hAnsiTheme="majorHAnsi" w:cstheme="majorHAnsi"/>
                <w:i/>
                <w:iCs/>
                <w:color w:val="002060"/>
              </w:rPr>
              <w:t>essas</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linhagens</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agem</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diretamente</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Alegações</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gerais</w:t>
            </w:r>
            <w:proofErr w:type="spellEnd"/>
            <w:r w:rsidRPr="00F0469F">
              <w:rPr>
                <w:rFonts w:asciiTheme="majorHAnsi" w:hAnsiTheme="majorHAnsi" w:cstheme="majorHAnsi"/>
                <w:i/>
                <w:iCs/>
                <w:color w:val="002060"/>
              </w:rPr>
              <w:t xml:space="preserve"> para outros </w:t>
            </w:r>
            <w:proofErr w:type="spellStart"/>
            <w:r w:rsidRPr="00F0469F">
              <w:rPr>
                <w:rFonts w:asciiTheme="majorHAnsi" w:hAnsiTheme="majorHAnsi" w:cstheme="majorHAnsi"/>
                <w:i/>
                <w:iCs/>
                <w:color w:val="002060"/>
              </w:rPr>
              <w:t>sistemas</w:t>
            </w:r>
            <w:proofErr w:type="spellEnd"/>
            <w:r w:rsidRPr="00F0469F">
              <w:rPr>
                <w:rFonts w:asciiTheme="majorHAnsi" w:hAnsiTheme="majorHAnsi" w:cstheme="majorHAnsi"/>
                <w:i/>
                <w:iCs/>
                <w:color w:val="002060"/>
              </w:rPr>
              <w:t xml:space="preserve"> do </w:t>
            </w:r>
            <w:proofErr w:type="spellStart"/>
            <w:r w:rsidRPr="00F0469F">
              <w:rPr>
                <w:rFonts w:asciiTheme="majorHAnsi" w:hAnsiTheme="majorHAnsi" w:cstheme="majorHAnsi"/>
                <w:i/>
                <w:iCs/>
                <w:color w:val="002060"/>
              </w:rPr>
              <w:t>organismo</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geralmente</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não</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comunicam</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lastRenderedPageBreak/>
              <w:t>adequadamente</w:t>
            </w:r>
            <w:proofErr w:type="spellEnd"/>
            <w:r w:rsidRPr="00F0469F">
              <w:rPr>
                <w:rFonts w:asciiTheme="majorHAnsi" w:hAnsiTheme="majorHAnsi" w:cstheme="majorHAnsi"/>
                <w:i/>
                <w:iCs/>
                <w:color w:val="002060"/>
              </w:rPr>
              <w:t xml:space="preserve"> o </w:t>
            </w:r>
            <w:proofErr w:type="spellStart"/>
            <w:r w:rsidRPr="00F0469F">
              <w:rPr>
                <w:rFonts w:asciiTheme="majorHAnsi" w:hAnsiTheme="majorHAnsi" w:cstheme="majorHAnsi"/>
                <w:i/>
                <w:iCs/>
                <w:color w:val="002060"/>
              </w:rPr>
              <w:t>benefício</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pretendido</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sendo</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enganosas</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ao</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consumidor</w:t>
            </w:r>
            <w:proofErr w:type="spellEnd"/>
            <w:r w:rsidRPr="00F0469F">
              <w:rPr>
                <w:rFonts w:asciiTheme="majorHAnsi" w:hAnsiTheme="majorHAnsi" w:cstheme="majorHAnsi"/>
                <w:i/>
                <w:iCs/>
                <w:color w:val="002060"/>
              </w:rPr>
              <w:t xml:space="preserve"> por </w:t>
            </w:r>
            <w:proofErr w:type="spellStart"/>
            <w:r w:rsidRPr="00F0469F">
              <w:rPr>
                <w:rFonts w:asciiTheme="majorHAnsi" w:hAnsiTheme="majorHAnsi" w:cstheme="majorHAnsi"/>
                <w:i/>
                <w:iCs/>
                <w:color w:val="002060"/>
              </w:rPr>
              <w:t>permitir</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múltiplas</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interpretações</w:t>
            </w:r>
            <w:proofErr w:type="spellEnd"/>
            <w:r w:rsidRPr="00F0469F">
              <w:rPr>
                <w:rFonts w:asciiTheme="majorHAnsi" w:hAnsiTheme="majorHAnsi" w:cstheme="majorHAnsi"/>
                <w:i/>
                <w:iCs/>
                <w:color w:val="002060"/>
              </w:rPr>
              <w:t xml:space="preserve"> (por </w:t>
            </w:r>
            <w:proofErr w:type="spellStart"/>
            <w:r w:rsidRPr="00F0469F">
              <w:rPr>
                <w:rFonts w:asciiTheme="majorHAnsi" w:hAnsiTheme="majorHAnsi" w:cstheme="majorHAnsi"/>
                <w:i/>
                <w:iCs/>
                <w:color w:val="002060"/>
              </w:rPr>
              <w:t>exemplo</w:t>
            </w:r>
            <w:proofErr w:type="spellEnd"/>
            <w:r w:rsidRPr="00F0469F">
              <w:rPr>
                <w:rFonts w:asciiTheme="majorHAnsi" w:hAnsiTheme="majorHAnsi" w:cstheme="majorHAnsi"/>
                <w:i/>
                <w:iCs/>
                <w:color w:val="002060"/>
              </w:rPr>
              <w:t>: “</w:t>
            </w:r>
            <w:proofErr w:type="spellStart"/>
            <w:r w:rsidRPr="00F0469F">
              <w:rPr>
                <w:rFonts w:asciiTheme="majorHAnsi" w:hAnsiTheme="majorHAnsi" w:cstheme="majorHAnsi"/>
                <w:i/>
                <w:iCs/>
                <w:color w:val="002060"/>
              </w:rPr>
              <w:t>benéficas</w:t>
            </w:r>
            <w:proofErr w:type="spellEnd"/>
            <w:r w:rsidRPr="00F0469F">
              <w:rPr>
                <w:rFonts w:asciiTheme="majorHAnsi" w:hAnsiTheme="majorHAnsi" w:cstheme="majorHAnsi"/>
                <w:i/>
                <w:iCs/>
                <w:color w:val="002060"/>
              </w:rPr>
              <w:t xml:space="preserve"> à </w:t>
            </w:r>
            <w:proofErr w:type="spellStart"/>
            <w:r w:rsidRPr="00F0469F">
              <w:rPr>
                <w:rFonts w:asciiTheme="majorHAnsi" w:hAnsiTheme="majorHAnsi" w:cstheme="majorHAnsi"/>
                <w:i/>
                <w:iCs/>
                <w:color w:val="002060"/>
              </w:rPr>
              <w:t>saúde</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ou</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favorecem</w:t>
            </w:r>
            <w:proofErr w:type="spellEnd"/>
            <w:r w:rsidRPr="00F0469F">
              <w:rPr>
                <w:rFonts w:asciiTheme="majorHAnsi" w:hAnsiTheme="majorHAnsi" w:cstheme="majorHAnsi"/>
                <w:i/>
                <w:iCs/>
                <w:color w:val="002060"/>
              </w:rPr>
              <w:t xml:space="preserve"> a </w:t>
            </w:r>
            <w:proofErr w:type="spellStart"/>
            <w:r w:rsidRPr="00F0469F">
              <w:rPr>
                <w:rFonts w:asciiTheme="majorHAnsi" w:hAnsiTheme="majorHAnsi" w:cstheme="majorHAnsi"/>
                <w:i/>
                <w:iCs/>
                <w:color w:val="002060"/>
              </w:rPr>
              <w:t>saúde</w:t>
            </w:r>
            <w:proofErr w:type="spellEnd"/>
            <w:r w:rsidRPr="00F0469F">
              <w:rPr>
                <w:rFonts w:asciiTheme="majorHAnsi" w:hAnsiTheme="majorHAnsi" w:cstheme="majorHAnsi"/>
                <w:i/>
                <w:iCs/>
                <w:color w:val="002060"/>
              </w:rPr>
              <w:t xml:space="preserve"> </w:t>
            </w:r>
            <w:proofErr w:type="spellStart"/>
            <w:r w:rsidRPr="00F0469F">
              <w:rPr>
                <w:rFonts w:asciiTheme="majorHAnsi" w:hAnsiTheme="majorHAnsi" w:cstheme="majorHAnsi"/>
                <w:i/>
                <w:iCs/>
                <w:color w:val="002060"/>
              </w:rPr>
              <w:t>imunológica</w:t>
            </w:r>
            <w:proofErr w:type="spellEnd"/>
            <w:r w:rsidRPr="00F0469F">
              <w:rPr>
                <w:rFonts w:asciiTheme="majorHAnsi" w:hAnsiTheme="majorHAnsi" w:cstheme="majorHAnsi"/>
                <w:i/>
                <w:iCs/>
                <w:color w:val="002060"/>
              </w:rPr>
              <w:t>”)</w:t>
            </w:r>
          </w:p>
        </w:tc>
        <w:tc>
          <w:tcPr>
            <w:tcW w:w="3544" w:type="dxa"/>
          </w:tcPr>
          <w:p w14:paraId="27F33134" w14:textId="77777777" w:rsidR="00330CB3" w:rsidRPr="000728CD" w:rsidRDefault="00330CB3" w:rsidP="00B04C3C">
            <w:pPr>
              <w:rPr>
                <w:rFonts w:asciiTheme="majorHAnsi" w:hAnsiTheme="majorHAnsi" w:cstheme="majorHAnsi"/>
              </w:rPr>
            </w:pPr>
          </w:p>
        </w:tc>
      </w:tr>
      <w:tr w:rsidR="00330CB3" w:rsidRPr="000728CD" w14:paraId="5D046D45" w14:textId="653FC654" w:rsidTr="00330CB3">
        <w:trPr>
          <w:trHeight w:val="2344"/>
        </w:trPr>
        <w:tc>
          <w:tcPr>
            <w:tcW w:w="2547" w:type="dxa"/>
          </w:tcPr>
          <w:p w14:paraId="79A34A2A" w14:textId="77777777" w:rsidR="00330CB3" w:rsidRPr="000728CD" w:rsidRDefault="00330CB3" w:rsidP="00B04C3C">
            <w:pPr>
              <w:rPr>
                <w:rFonts w:asciiTheme="majorHAnsi" w:hAnsiTheme="majorHAnsi" w:cstheme="majorHAnsi"/>
                <w:noProof/>
              </w:rPr>
            </w:pPr>
            <w:bookmarkStart w:id="0" w:name="_Hlk74665106"/>
          </w:p>
        </w:tc>
        <w:tc>
          <w:tcPr>
            <w:tcW w:w="3544" w:type="dxa"/>
          </w:tcPr>
          <w:p w14:paraId="08611E67" w14:textId="77777777" w:rsidR="00330CB3" w:rsidRPr="003E2648" w:rsidRDefault="00330CB3" w:rsidP="00B04C3C">
            <w:pPr>
              <w:autoSpaceDE w:val="0"/>
              <w:autoSpaceDN w:val="0"/>
              <w:adjustRightInd w:val="0"/>
              <w:jc w:val="both"/>
              <w:rPr>
                <w:rFonts w:asciiTheme="majorHAnsi" w:hAnsiTheme="majorHAnsi" w:cstheme="majorHAnsi"/>
                <w:i/>
                <w:iCs/>
              </w:rPr>
            </w:pPr>
            <w:proofErr w:type="spellStart"/>
            <w:r w:rsidRPr="003E2648">
              <w:rPr>
                <w:rFonts w:asciiTheme="majorHAnsi" w:hAnsiTheme="majorHAnsi" w:cstheme="majorHAnsi"/>
                <w:i/>
                <w:iCs/>
              </w:rPr>
              <w:t>Ao</w:t>
            </w:r>
            <w:proofErr w:type="spellEnd"/>
            <w:r w:rsidRPr="003E2648">
              <w:rPr>
                <w:rFonts w:asciiTheme="majorHAnsi" w:hAnsiTheme="majorHAnsi" w:cstheme="majorHAnsi"/>
                <w:i/>
                <w:iCs/>
              </w:rPr>
              <w:t xml:space="preserve"> final da </w:t>
            </w:r>
            <w:proofErr w:type="spellStart"/>
            <w:r w:rsidRPr="003E2648">
              <w:rPr>
                <w:rFonts w:asciiTheme="majorHAnsi" w:hAnsiTheme="majorHAnsi" w:cstheme="majorHAnsi"/>
                <w:i/>
                <w:iCs/>
              </w:rPr>
              <w:t>discussão</w:t>
            </w:r>
            <w:proofErr w:type="spellEnd"/>
            <w:r w:rsidRPr="003E2648">
              <w:rPr>
                <w:rFonts w:asciiTheme="majorHAnsi" w:hAnsiTheme="majorHAnsi" w:cstheme="majorHAnsi"/>
                <w:i/>
                <w:iCs/>
              </w:rPr>
              <w:t xml:space="preserve"> </w:t>
            </w:r>
            <w:proofErr w:type="spellStart"/>
            <w:r w:rsidRPr="003E2648">
              <w:rPr>
                <w:rFonts w:asciiTheme="majorHAnsi" w:hAnsiTheme="majorHAnsi" w:cstheme="majorHAnsi"/>
                <w:i/>
                <w:iCs/>
              </w:rPr>
              <w:t>sobre</w:t>
            </w:r>
            <w:proofErr w:type="spellEnd"/>
            <w:r w:rsidRPr="003E2648">
              <w:rPr>
                <w:rFonts w:asciiTheme="majorHAnsi" w:hAnsiTheme="majorHAnsi" w:cstheme="majorHAnsi"/>
                <w:i/>
                <w:iCs/>
              </w:rPr>
              <w:t xml:space="preserve"> a </w:t>
            </w:r>
            <w:proofErr w:type="spellStart"/>
            <w:r w:rsidRPr="003E2648">
              <w:rPr>
                <w:rFonts w:asciiTheme="majorHAnsi" w:hAnsiTheme="majorHAnsi" w:cstheme="majorHAnsi"/>
                <w:i/>
                <w:iCs/>
              </w:rPr>
              <w:t>Comprovação</w:t>
            </w:r>
            <w:proofErr w:type="spellEnd"/>
            <w:r w:rsidRPr="003E2648">
              <w:rPr>
                <w:rFonts w:asciiTheme="majorHAnsi" w:hAnsiTheme="majorHAnsi" w:cstheme="majorHAnsi"/>
                <w:i/>
                <w:iCs/>
              </w:rPr>
              <w:t xml:space="preserve"> da </w:t>
            </w:r>
            <w:proofErr w:type="spellStart"/>
            <w:r w:rsidRPr="003E2648">
              <w:rPr>
                <w:rFonts w:asciiTheme="majorHAnsi" w:hAnsiTheme="majorHAnsi" w:cstheme="majorHAnsi"/>
                <w:i/>
                <w:iCs/>
              </w:rPr>
              <w:t>eficácia</w:t>
            </w:r>
            <w:proofErr w:type="spellEnd"/>
            <w:r w:rsidRPr="003E2648">
              <w:rPr>
                <w:rFonts w:asciiTheme="majorHAnsi" w:hAnsiTheme="majorHAnsi" w:cstheme="majorHAnsi"/>
                <w:i/>
                <w:iCs/>
              </w:rPr>
              <w:t xml:space="preserve">, </w:t>
            </w:r>
            <w:proofErr w:type="spellStart"/>
            <w:r w:rsidRPr="003E2648">
              <w:rPr>
                <w:rFonts w:asciiTheme="majorHAnsi" w:hAnsiTheme="majorHAnsi" w:cstheme="majorHAnsi"/>
                <w:i/>
                <w:iCs/>
              </w:rPr>
              <w:t>lembrou</w:t>
            </w:r>
            <w:proofErr w:type="spellEnd"/>
            <w:r w:rsidRPr="003E2648">
              <w:rPr>
                <w:rFonts w:asciiTheme="majorHAnsi" w:hAnsiTheme="majorHAnsi" w:cstheme="majorHAnsi"/>
                <w:i/>
                <w:iCs/>
              </w:rPr>
              <w:t xml:space="preserve">-se que, para </w:t>
            </w:r>
            <w:proofErr w:type="spellStart"/>
            <w:r w:rsidRPr="003E2648">
              <w:rPr>
                <w:rFonts w:asciiTheme="majorHAnsi" w:hAnsiTheme="majorHAnsi" w:cstheme="majorHAnsi"/>
                <w:i/>
                <w:iCs/>
              </w:rPr>
              <w:t>alegações</w:t>
            </w:r>
            <w:proofErr w:type="spellEnd"/>
          </w:p>
          <w:p w14:paraId="10D813B0" w14:textId="77777777" w:rsidR="00330CB3" w:rsidRPr="003E2648" w:rsidRDefault="00330CB3" w:rsidP="00B04C3C">
            <w:pPr>
              <w:autoSpaceDE w:val="0"/>
              <w:autoSpaceDN w:val="0"/>
              <w:adjustRightInd w:val="0"/>
              <w:jc w:val="both"/>
              <w:rPr>
                <w:rFonts w:asciiTheme="majorHAnsi" w:hAnsiTheme="majorHAnsi" w:cstheme="majorHAnsi"/>
              </w:rPr>
            </w:pPr>
            <w:proofErr w:type="spellStart"/>
            <w:r w:rsidRPr="003E2648">
              <w:rPr>
                <w:rFonts w:asciiTheme="majorHAnsi" w:hAnsiTheme="majorHAnsi" w:cstheme="majorHAnsi"/>
                <w:i/>
                <w:iCs/>
              </w:rPr>
              <w:t>gerais</w:t>
            </w:r>
            <w:proofErr w:type="spellEnd"/>
            <w:r w:rsidRPr="003E2648">
              <w:rPr>
                <w:rFonts w:asciiTheme="majorHAnsi" w:hAnsiTheme="majorHAnsi" w:cstheme="majorHAnsi"/>
                <w:i/>
                <w:iCs/>
              </w:rPr>
              <w:t xml:space="preserve">, </w:t>
            </w:r>
            <w:proofErr w:type="spellStart"/>
            <w:r w:rsidRPr="003E2648">
              <w:rPr>
                <w:rFonts w:asciiTheme="majorHAnsi" w:hAnsiTheme="majorHAnsi" w:cstheme="majorHAnsi"/>
                <w:i/>
                <w:iCs/>
              </w:rPr>
              <w:t>maior</w:t>
            </w:r>
            <w:proofErr w:type="spellEnd"/>
            <w:r w:rsidRPr="003E2648">
              <w:rPr>
                <w:rFonts w:asciiTheme="majorHAnsi" w:hAnsiTheme="majorHAnsi" w:cstheme="majorHAnsi"/>
                <w:i/>
                <w:iCs/>
              </w:rPr>
              <w:t xml:space="preserve"> </w:t>
            </w:r>
            <w:proofErr w:type="spellStart"/>
            <w:r w:rsidRPr="003E2648">
              <w:rPr>
                <w:rFonts w:asciiTheme="majorHAnsi" w:hAnsiTheme="majorHAnsi" w:cstheme="majorHAnsi"/>
                <w:i/>
                <w:iCs/>
              </w:rPr>
              <w:t>ênfase</w:t>
            </w:r>
            <w:proofErr w:type="spellEnd"/>
            <w:r w:rsidRPr="003E2648">
              <w:rPr>
                <w:rFonts w:asciiTheme="majorHAnsi" w:hAnsiTheme="majorHAnsi" w:cstheme="majorHAnsi"/>
                <w:i/>
                <w:iCs/>
              </w:rPr>
              <w:t xml:space="preserve"> </w:t>
            </w:r>
            <w:proofErr w:type="spellStart"/>
            <w:r w:rsidRPr="003E2648">
              <w:rPr>
                <w:rFonts w:asciiTheme="majorHAnsi" w:hAnsiTheme="majorHAnsi" w:cstheme="majorHAnsi"/>
                <w:i/>
                <w:iCs/>
              </w:rPr>
              <w:t>será</w:t>
            </w:r>
            <w:proofErr w:type="spellEnd"/>
            <w:r w:rsidRPr="003E2648">
              <w:rPr>
                <w:rFonts w:asciiTheme="majorHAnsi" w:hAnsiTheme="majorHAnsi" w:cstheme="majorHAnsi"/>
                <w:i/>
                <w:iCs/>
              </w:rPr>
              <w:t xml:space="preserve"> dada </w:t>
            </w:r>
            <w:proofErr w:type="spellStart"/>
            <w:r w:rsidRPr="003E2648">
              <w:rPr>
                <w:rFonts w:asciiTheme="majorHAnsi" w:hAnsiTheme="majorHAnsi" w:cstheme="majorHAnsi"/>
                <w:i/>
                <w:iCs/>
              </w:rPr>
              <w:t>ao</w:t>
            </w:r>
            <w:proofErr w:type="spellEnd"/>
            <w:r w:rsidRPr="003E2648">
              <w:rPr>
                <w:rFonts w:asciiTheme="majorHAnsi" w:hAnsiTheme="majorHAnsi" w:cstheme="majorHAnsi"/>
                <w:i/>
                <w:iCs/>
              </w:rPr>
              <w:t xml:space="preserve"> </w:t>
            </w:r>
            <w:proofErr w:type="spellStart"/>
            <w:r w:rsidRPr="003E2648">
              <w:rPr>
                <w:rFonts w:asciiTheme="majorHAnsi" w:hAnsiTheme="majorHAnsi" w:cstheme="majorHAnsi"/>
                <w:i/>
                <w:iCs/>
              </w:rPr>
              <w:t>domínio</w:t>
            </w:r>
            <w:proofErr w:type="spellEnd"/>
            <w:r w:rsidRPr="003E2648">
              <w:rPr>
                <w:rFonts w:asciiTheme="majorHAnsi" w:hAnsiTheme="majorHAnsi" w:cstheme="majorHAnsi"/>
                <w:i/>
                <w:iCs/>
              </w:rPr>
              <w:t xml:space="preserve"> que </w:t>
            </w:r>
            <w:proofErr w:type="spellStart"/>
            <w:r w:rsidRPr="003E2648">
              <w:rPr>
                <w:rFonts w:asciiTheme="majorHAnsi" w:hAnsiTheme="majorHAnsi" w:cstheme="majorHAnsi"/>
                <w:i/>
                <w:iCs/>
              </w:rPr>
              <w:t>trata</w:t>
            </w:r>
            <w:proofErr w:type="spellEnd"/>
            <w:r w:rsidRPr="003E2648">
              <w:rPr>
                <w:rFonts w:asciiTheme="majorHAnsi" w:hAnsiTheme="majorHAnsi" w:cstheme="majorHAnsi"/>
                <w:i/>
                <w:iCs/>
              </w:rPr>
              <w:t xml:space="preserve"> da </w:t>
            </w:r>
            <w:proofErr w:type="spellStart"/>
            <w:r w:rsidRPr="003E2648">
              <w:rPr>
                <w:rFonts w:asciiTheme="majorHAnsi" w:hAnsiTheme="majorHAnsi" w:cstheme="majorHAnsi"/>
                <w:i/>
                <w:iCs/>
              </w:rPr>
              <w:t>consistência</w:t>
            </w:r>
            <w:proofErr w:type="spellEnd"/>
            <w:r w:rsidRPr="003E2648">
              <w:rPr>
                <w:rFonts w:asciiTheme="majorHAnsi" w:hAnsiTheme="majorHAnsi" w:cstheme="majorHAnsi"/>
                <w:i/>
                <w:iCs/>
              </w:rPr>
              <w:t xml:space="preserve"> (</w:t>
            </w:r>
            <w:proofErr w:type="spellStart"/>
            <w:r w:rsidRPr="003E2648">
              <w:rPr>
                <w:rFonts w:asciiTheme="majorHAnsi" w:hAnsiTheme="majorHAnsi" w:cstheme="majorHAnsi"/>
                <w:i/>
                <w:iCs/>
              </w:rPr>
              <w:t>direção</w:t>
            </w:r>
            <w:proofErr w:type="spellEnd"/>
            <w:r w:rsidRPr="003E2648">
              <w:rPr>
                <w:rFonts w:asciiTheme="majorHAnsi" w:hAnsiTheme="majorHAnsi" w:cstheme="majorHAnsi"/>
                <w:i/>
                <w:iCs/>
              </w:rPr>
              <w:t xml:space="preserve">) da </w:t>
            </w:r>
            <w:proofErr w:type="spellStart"/>
            <w:r w:rsidRPr="003E2648">
              <w:rPr>
                <w:rFonts w:asciiTheme="majorHAnsi" w:hAnsiTheme="majorHAnsi" w:cstheme="majorHAnsi"/>
                <w:i/>
                <w:iCs/>
              </w:rPr>
              <w:t>evidência</w:t>
            </w:r>
            <w:proofErr w:type="spellEnd"/>
            <w:r w:rsidRPr="003E2648">
              <w:rPr>
                <w:rFonts w:asciiTheme="majorHAnsi" w:hAnsiTheme="majorHAnsi" w:cstheme="majorHAnsi"/>
                <w:i/>
                <w:iCs/>
              </w:rPr>
              <w:t xml:space="preserve">. No que </w:t>
            </w:r>
            <w:proofErr w:type="spellStart"/>
            <w:r w:rsidRPr="003E2648">
              <w:rPr>
                <w:rFonts w:asciiTheme="majorHAnsi" w:hAnsiTheme="majorHAnsi" w:cstheme="majorHAnsi"/>
                <w:i/>
                <w:iCs/>
              </w:rPr>
              <w:t>tange</w:t>
            </w:r>
            <w:proofErr w:type="spellEnd"/>
            <w:r w:rsidRPr="003E2648">
              <w:rPr>
                <w:rFonts w:asciiTheme="majorHAnsi" w:hAnsiTheme="majorHAnsi" w:cstheme="majorHAnsi"/>
                <w:i/>
                <w:iCs/>
              </w:rPr>
              <w:t xml:space="preserve"> </w:t>
            </w:r>
            <w:proofErr w:type="spellStart"/>
            <w:r w:rsidRPr="003E2648">
              <w:rPr>
                <w:rFonts w:asciiTheme="majorHAnsi" w:hAnsiTheme="majorHAnsi" w:cstheme="majorHAnsi"/>
                <w:i/>
                <w:iCs/>
              </w:rPr>
              <w:t>às</w:t>
            </w:r>
            <w:proofErr w:type="spellEnd"/>
            <w:r w:rsidRPr="003E2648">
              <w:rPr>
                <w:rFonts w:asciiTheme="majorHAnsi" w:hAnsiTheme="majorHAnsi" w:cstheme="majorHAnsi"/>
                <w:i/>
                <w:iCs/>
              </w:rPr>
              <w:t xml:space="preserve"> </w:t>
            </w:r>
            <w:proofErr w:type="spellStart"/>
            <w:r w:rsidRPr="003E2648">
              <w:rPr>
                <w:rFonts w:asciiTheme="majorHAnsi" w:hAnsiTheme="majorHAnsi" w:cstheme="majorHAnsi"/>
                <w:i/>
                <w:iCs/>
              </w:rPr>
              <w:t>alegações</w:t>
            </w:r>
            <w:proofErr w:type="spellEnd"/>
            <w:r w:rsidRPr="003E2648">
              <w:rPr>
                <w:rFonts w:asciiTheme="majorHAnsi" w:hAnsiTheme="majorHAnsi" w:cstheme="majorHAnsi"/>
                <w:i/>
                <w:iCs/>
              </w:rPr>
              <w:t xml:space="preserve"> </w:t>
            </w:r>
            <w:proofErr w:type="spellStart"/>
            <w:r w:rsidRPr="003E2648">
              <w:rPr>
                <w:rFonts w:asciiTheme="majorHAnsi" w:hAnsiTheme="majorHAnsi" w:cstheme="majorHAnsi"/>
                <w:i/>
                <w:iCs/>
              </w:rPr>
              <w:t>específicas</w:t>
            </w:r>
            <w:proofErr w:type="spellEnd"/>
            <w:r w:rsidRPr="003E2648">
              <w:rPr>
                <w:rFonts w:asciiTheme="majorHAnsi" w:hAnsiTheme="majorHAnsi" w:cstheme="majorHAnsi"/>
                <w:i/>
                <w:iCs/>
              </w:rPr>
              <w:t xml:space="preserve">, </w:t>
            </w:r>
            <w:proofErr w:type="spellStart"/>
            <w:r w:rsidRPr="003E2648">
              <w:rPr>
                <w:rFonts w:asciiTheme="majorHAnsi" w:hAnsiTheme="majorHAnsi" w:cstheme="majorHAnsi"/>
                <w:i/>
                <w:iCs/>
              </w:rPr>
              <w:t>será</w:t>
            </w:r>
            <w:proofErr w:type="spellEnd"/>
            <w:r w:rsidRPr="003E2648">
              <w:rPr>
                <w:rFonts w:asciiTheme="majorHAnsi" w:hAnsiTheme="majorHAnsi" w:cstheme="majorHAnsi"/>
                <w:i/>
                <w:iCs/>
              </w:rPr>
              <w:t xml:space="preserve"> </w:t>
            </w:r>
            <w:proofErr w:type="spellStart"/>
            <w:r w:rsidRPr="003E2648">
              <w:rPr>
                <w:rFonts w:asciiTheme="majorHAnsi" w:hAnsiTheme="majorHAnsi" w:cstheme="majorHAnsi"/>
                <w:i/>
                <w:iCs/>
              </w:rPr>
              <w:t>considerado</w:t>
            </w:r>
            <w:proofErr w:type="spellEnd"/>
            <w:r w:rsidRPr="003E2648">
              <w:rPr>
                <w:rFonts w:asciiTheme="majorHAnsi" w:hAnsiTheme="majorHAnsi" w:cstheme="majorHAnsi"/>
                <w:i/>
                <w:iCs/>
              </w:rPr>
              <w:t xml:space="preserve"> </w:t>
            </w:r>
            <w:proofErr w:type="spellStart"/>
            <w:r w:rsidRPr="003E2648">
              <w:rPr>
                <w:rFonts w:asciiTheme="majorHAnsi" w:hAnsiTheme="majorHAnsi" w:cstheme="majorHAnsi"/>
                <w:i/>
                <w:iCs/>
              </w:rPr>
              <w:t>também</w:t>
            </w:r>
            <w:proofErr w:type="spellEnd"/>
            <w:r w:rsidRPr="003E2648">
              <w:rPr>
                <w:rFonts w:asciiTheme="majorHAnsi" w:hAnsiTheme="majorHAnsi" w:cstheme="majorHAnsi"/>
                <w:i/>
                <w:iCs/>
              </w:rPr>
              <w:t xml:space="preserve"> o </w:t>
            </w:r>
            <w:proofErr w:type="spellStart"/>
            <w:r w:rsidRPr="003E2648">
              <w:rPr>
                <w:rFonts w:asciiTheme="majorHAnsi" w:hAnsiTheme="majorHAnsi" w:cstheme="majorHAnsi"/>
                <w:i/>
                <w:iCs/>
              </w:rPr>
              <w:t>domínio</w:t>
            </w:r>
            <w:proofErr w:type="spellEnd"/>
            <w:r w:rsidRPr="003E2648">
              <w:rPr>
                <w:rFonts w:asciiTheme="majorHAnsi" w:hAnsiTheme="majorHAnsi" w:cstheme="majorHAnsi"/>
                <w:i/>
                <w:iCs/>
              </w:rPr>
              <w:t xml:space="preserve"> que </w:t>
            </w:r>
            <w:proofErr w:type="spellStart"/>
            <w:r w:rsidRPr="003E2648">
              <w:rPr>
                <w:rFonts w:asciiTheme="majorHAnsi" w:hAnsiTheme="majorHAnsi" w:cstheme="majorHAnsi"/>
                <w:i/>
                <w:iCs/>
              </w:rPr>
              <w:t>avalia</w:t>
            </w:r>
            <w:proofErr w:type="spellEnd"/>
            <w:r w:rsidRPr="003E2648">
              <w:rPr>
                <w:rFonts w:asciiTheme="majorHAnsi" w:hAnsiTheme="majorHAnsi" w:cstheme="majorHAnsi"/>
                <w:i/>
                <w:iCs/>
              </w:rPr>
              <w:t xml:space="preserve"> a </w:t>
            </w:r>
            <w:proofErr w:type="spellStart"/>
            <w:r w:rsidRPr="003E2648">
              <w:rPr>
                <w:rFonts w:asciiTheme="majorHAnsi" w:hAnsiTheme="majorHAnsi" w:cstheme="majorHAnsi"/>
                <w:i/>
                <w:iCs/>
              </w:rPr>
              <w:t>força</w:t>
            </w:r>
            <w:proofErr w:type="spellEnd"/>
            <w:r w:rsidRPr="003E2648">
              <w:rPr>
                <w:rFonts w:asciiTheme="majorHAnsi" w:hAnsiTheme="majorHAnsi" w:cstheme="majorHAnsi"/>
                <w:i/>
                <w:iCs/>
              </w:rPr>
              <w:t xml:space="preserve"> da </w:t>
            </w:r>
            <w:proofErr w:type="spellStart"/>
            <w:r w:rsidRPr="003E2648">
              <w:rPr>
                <w:rFonts w:asciiTheme="majorHAnsi" w:hAnsiTheme="majorHAnsi" w:cstheme="majorHAnsi"/>
                <w:i/>
                <w:iCs/>
              </w:rPr>
              <w:t>associação</w:t>
            </w:r>
            <w:proofErr w:type="spellEnd"/>
            <w:r w:rsidRPr="003E2648">
              <w:rPr>
                <w:rFonts w:asciiTheme="majorHAnsi" w:hAnsiTheme="majorHAnsi" w:cstheme="majorHAnsi"/>
                <w:i/>
                <w:iCs/>
              </w:rPr>
              <w:t>.</w:t>
            </w:r>
          </w:p>
        </w:tc>
        <w:tc>
          <w:tcPr>
            <w:tcW w:w="3827" w:type="dxa"/>
          </w:tcPr>
          <w:p w14:paraId="4C77F83D" w14:textId="77777777" w:rsidR="00330CB3" w:rsidRPr="003E2648" w:rsidRDefault="00330CB3" w:rsidP="00B04C3C">
            <w:pPr>
              <w:jc w:val="both"/>
              <w:rPr>
                <w:rFonts w:asciiTheme="majorHAnsi" w:hAnsiTheme="majorHAnsi" w:cstheme="majorHAnsi"/>
              </w:rPr>
            </w:pPr>
            <w:r w:rsidRPr="003E2648">
              <w:rPr>
                <w:rFonts w:asciiTheme="majorHAnsi" w:hAnsiTheme="majorHAnsi" w:cstheme="majorHAnsi"/>
              </w:rPr>
              <w:t xml:space="preserve">O </w:t>
            </w:r>
            <w:proofErr w:type="spellStart"/>
            <w:r w:rsidRPr="003E2648">
              <w:rPr>
                <w:rFonts w:asciiTheme="majorHAnsi" w:hAnsiTheme="majorHAnsi" w:cstheme="majorHAnsi"/>
              </w:rPr>
              <w:t>guia</w:t>
            </w:r>
            <w:proofErr w:type="spellEnd"/>
            <w:r w:rsidRPr="003E2648">
              <w:rPr>
                <w:rFonts w:asciiTheme="majorHAnsi" w:hAnsiTheme="majorHAnsi" w:cstheme="majorHAnsi"/>
              </w:rPr>
              <w:t xml:space="preserve"> </w:t>
            </w:r>
            <w:proofErr w:type="spellStart"/>
            <w:r w:rsidRPr="003E2648">
              <w:rPr>
                <w:rFonts w:asciiTheme="majorHAnsi" w:hAnsiTheme="majorHAnsi" w:cstheme="majorHAnsi"/>
              </w:rPr>
              <w:t>versão</w:t>
            </w:r>
            <w:proofErr w:type="spellEnd"/>
            <w:r w:rsidRPr="003E2648">
              <w:rPr>
                <w:rFonts w:asciiTheme="majorHAnsi" w:hAnsiTheme="majorHAnsi" w:cstheme="majorHAnsi"/>
              </w:rPr>
              <w:t xml:space="preserve"> 2 </w:t>
            </w:r>
            <w:proofErr w:type="spellStart"/>
            <w:r w:rsidRPr="003E2648">
              <w:rPr>
                <w:rFonts w:asciiTheme="majorHAnsi" w:hAnsiTheme="majorHAnsi" w:cstheme="majorHAnsi"/>
              </w:rPr>
              <w:t>traz</w:t>
            </w:r>
            <w:proofErr w:type="spellEnd"/>
            <w:r w:rsidRPr="003E2648">
              <w:rPr>
                <w:rFonts w:asciiTheme="majorHAnsi" w:hAnsiTheme="majorHAnsi" w:cstheme="majorHAnsi"/>
              </w:rPr>
              <w:t xml:space="preserve"> </w:t>
            </w:r>
            <w:proofErr w:type="spellStart"/>
            <w:r w:rsidRPr="003E2648">
              <w:rPr>
                <w:rFonts w:asciiTheme="majorHAnsi" w:hAnsiTheme="majorHAnsi" w:cstheme="majorHAnsi"/>
              </w:rPr>
              <w:t>muitos</w:t>
            </w:r>
            <w:proofErr w:type="spellEnd"/>
            <w:r w:rsidRPr="003E2648">
              <w:rPr>
                <w:rFonts w:asciiTheme="majorHAnsi" w:hAnsiTheme="majorHAnsi" w:cstheme="majorHAnsi"/>
              </w:rPr>
              <w:t xml:space="preserve"> outros </w:t>
            </w:r>
            <w:proofErr w:type="spellStart"/>
            <w:r w:rsidRPr="003E2648">
              <w:rPr>
                <w:rFonts w:asciiTheme="majorHAnsi" w:hAnsiTheme="majorHAnsi" w:cstheme="majorHAnsi"/>
              </w:rPr>
              <w:t>domínios</w:t>
            </w:r>
            <w:proofErr w:type="spellEnd"/>
            <w:r w:rsidRPr="003E2648">
              <w:rPr>
                <w:rFonts w:asciiTheme="majorHAnsi" w:hAnsiTheme="majorHAnsi" w:cstheme="majorHAnsi"/>
              </w:rPr>
              <w:t xml:space="preserve"> a </w:t>
            </w:r>
            <w:proofErr w:type="spellStart"/>
            <w:r w:rsidRPr="003E2648">
              <w:rPr>
                <w:rFonts w:asciiTheme="majorHAnsi" w:hAnsiTheme="majorHAnsi" w:cstheme="majorHAnsi"/>
              </w:rPr>
              <w:t>serem</w:t>
            </w:r>
            <w:proofErr w:type="spellEnd"/>
            <w:r w:rsidRPr="003E2648">
              <w:rPr>
                <w:rFonts w:asciiTheme="majorHAnsi" w:hAnsiTheme="majorHAnsi" w:cstheme="majorHAnsi"/>
              </w:rPr>
              <w:t xml:space="preserve"> </w:t>
            </w:r>
            <w:proofErr w:type="spellStart"/>
            <w:r w:rsidRPr="003E2648">
              <w:rPr>
                <w:rFonts w:asciiTheme="majorHAnsi" w:hAnsiTheme="majorHAnsi" w:cstheme="majorHAnsi"/>
              </w:rPr>
              <w:t>considerados</w:t>
            </w:r>
            <w:proofErr w:type="spellEnd"/>
            <w:r w:rsidRPr="003E2648">
              <w:rPr>
                <w:rFonts w:asciiTheme="majorHAnsi" w:hAnsiTheme="majorHAnsi" w:cstheme="majorHAnsi"/>
              </w:rPr>
              <w:t xml:space="preserve"> </w:t>
            </w:r>
            <w:proofErr w:type="spellStart"/>
            <w:r w:rsidRPr="003E2648">
              <w:rPr>
                <w:rFonts w:asciiTheme="majorHAnsi" w:hAnsiTheme="majorHAnsi" w:cstheme="majorHAnsi"/>
              </w:rPr>
              <w:t>na</w:t>
            </w:r>
            <w:proofErr w:type="spellEnd"/>
            <w:r w:rsidRPr="003E2648">
              <w:rPr>
                <w:rFonts w:asciiTheme="majorHAnsi" w:hAnsiTheme="majorHAnsi" w:cstheme="majorHAnsi"/>
              </w:rPr>
              <w:t xml:space="preserve"> </w:t>
            </w:r>
            <w:proofErr w:type="spellStart"/>
            <w:r w:rsidRPr="003E2648">
              <w:rPr>
                <w:rFonts w:asciiTheme="majorHAnsi" w:hAnsiTheme="majorHAnsi" w:cstheme="majorHAnsi"/>
              </w:rPr>
              <w:t>avaliação</w:t>
            </w:r>
            <w:proofErr w:type="spellEnd"/>
            <w:r w:rsidRPr="003E2648">
              <w:rPr>
                <w:rFonts w:asciiTheme="majorHAnsi" w:hAnsiTheme="majorHAnsi" w:cstheme="majorHAnsi"/>
              </w:rPr>
              <w:t xml:space="preserve"> da </w:t>
            </w:r>
            <w:proofErr w:type="spellStart"/>
            <w:r w:rsidRPr="003E2648">
              <w:rPr>
                <w:rFonts w:asciiTheme="majorHAnsi" w:hAnsiTheme="majorHAnsi" w:cstheme="majorHAnsi"/>
              </w:rPr>
              <w:t>força</w:t>
            </w:r>
            <w:proofErr w:type="spellEnd"/>
            <w:r w:rsidRPr="003E2648">
              <w:rPr>
                <w:rFonts w:asciiTheme="majorHAnsi" w:hAnsiTheme="majorHAnsi" w:cstheme="majorHAnsi"/>
              </w:rPr>
              <w:t xml:space="preserve"> da </w:t>
            </w:r>
            <w:proofErr w:type="spellStart"/>
            <w:r w:rsidRPr="003E2648">
              <w:rPr>
                <w:rFonts w:asciiTheme="majorHAnsi" w:hAnsiTheme="majorHAnsi" w:cstheme="majorHAnsi"/>
              </w:rPr>
              <w:t>evidência</w:t>
            </w:r>
            <w:proofErr w:type="spellEnd"/>
            <w:r w:rsidRPr="003E2648">
              <w:rPr>
                <w:rFonts w:asciiTheme="majorHAnsi" w:hAnsiTheme="majorHAnsi" w:cstheme="majorHAnsi"/>
              </w:rPr>
              <w:t xml:space="preserve"> </w:t>
            </w:r>
            <w:proofErr w:type="spellStart"/>
            <w:r w:rsidRPr="003E2648">
              <w:rPr>
                <w:rFonts w:asciiTheme="majorHAnsi" w:hAnsiTheme="majorHAnsi" w:cstheme="majorHAnsi"/>
              </w:rPr>
              <w:t>sem</w:t>
            </w:r>
            <w:proofErr w:type="spellEnd"/>
            <w:r w:rsidRPr="003E2648">
              <w:rPr>
                <w:rFonts w:asciiTheme="majorHAnsi" w:hAnsiTheme="majorHAnsi" w:cstheme="majorHAnsi"/>
              </w:rPr>
              <w:t xml:space="preserve"> </w:t>
            </w:r>
            <w:proofErr w:type="spellStart"/>
            <w:r w:rsidRPr="003E2648">
              <w:rPr>
                <w:rFonts w:asciiTheme="majorHAnsi" w:hAnsiTheme="majorHAnsi" w:cstheme="majorHAnsi"/>
              </w:rPr>
              <w:t>deixar</w:t>
            </w:r>
            <w:proofErr w:type="spellEnd"/>
            <w:r w:rsidRPr="003E2648">
              <w:rPr>
                <w:rFonts w:asciiTheme="majorHAnsi" w:hAnsiTheme="majorHAnsi" w:cstheme="majorHAnsi"/>
              </w:rPr>
              <w:t xml:space="preserve"> claro </w:t>
            </w:r>
            <w:proofErr w:type="spellStart"/>
            <w:r w:rsidRPr="003E2648">
              <w:rPr>
                <w:rFonts w:asciiTheme="majorHAnsi" w:hAnsiTheme="majorHAnsi" w:cstheme="majorHAnsi"/>
              </w:rPr>
              <w:t>em</w:t>
            </w:r>
            <w:proofErr w:type="spellEnd"/>
            <w:r w:rsidRPr="003E2648">
              <w:rPr>
                <w:rFonts w:asciiTheme="majorHAnsi" w:hAnsiTheme="majorHAnsi" w:cstheme="majorHAnsi"/>
              </w:rPr>
              <w:t xml:space="preserve"> que </w:t>
            </w:r>
            <w:proofErr w:type="spellStart"/>
            <w:r w:rsidRPr="003E2648">
              <w:rPr>
                <w:rFonts w:asciiTheme="majorHAnsi" w:hAnsiTheme="majorHAnsi" w:cstheme="majorHAnsi"/>
              </w:rPr>
              <w:t>situações</w:t>
            </w:r>
            <w:proofErr w:type="spellEnd"/>
            <w:r w:rsidRPr="003E2648">
              <w:rPr>
                <w:rFonts w:asciiTheme="majorHAnsi" w:hAnsiTheme="majorHAnsi" w:cstheme="majorHAnsi"/>
              </w:rPr>
              <w:t xml:space="preserve"> e </w:t>
            </w:r>
            <w:proofErr w:type="spellStart"/>
            <w:r w:rsidRPr="003E2648">
              <w:rPr>
                <w:rFonts w:asciiTheme="majorHAnsi" w:hAnsiTheme="majorHAnsi" w:cstheme="majorHAnsi"/>
              </w:rPr>
              <w:t>como</w:t>
            </w:r>
            <w:proofErr w:type="spellEnd"/>
            <w:r w:rsidRPr="003E2648">
              <w:rPr>
                <w:rFonts w:asciiTheme="majorHAnsi" w:hAnsiTheme="majorHAnsi" w:cstheme="majorHAnsi"/>
              </w:rPr>
              <w:t xml:space="preserve"> </w:t>
            </w:r>
            <w:proofErr w:type="spellStart"/>
            <w:r w:rsidRPr="003E2648">
              <w:rPr>
                <w:rFonts w:asciiTheme="majorHAnsi" w:hAnsiTheme="majorHAnsi" w:cstheme="majorHAnsi"/>
              </w:rPr>
              <w:t>eles</w:t>
            </w:r>
            <w:proofErr w:type="spellEnd"/>
            <w:r w:rsidRPr="003E2648">
              <w:rPr>
                <w:rFonts w:asciiTheme="majorHAnsi" w:hAnsiTheme="majorHAnsi" w:cstheme="majorHAnsi"/>
              </w:rPr>
              <w:t xml:space="preserve"> </w:t>
            </w:r>
            <w:proofErr w:type="spellStart"/>
            <w:r w:rsidRPr="003E2648">
              <w:rPr>
                <w:rFonts w:asciiTheme="majorHAnsi" w:hAnsiTheme="majorHAnsi" w:cstheme="majorHAnsi"/>
              </w:rPr>
              <w:t>serão</w:t>
            </w:r>
            <w:proofErr w:type="spellEnd"/>
            <w:r w:rsidRPr="003E2648">
              <w:rPr>
                <w:rFonts w:asciiTheme="majorHAnsi" w:hAnsiTheme="majorHAnsi" w:cstheme="majorHAnsi"/>
              </w:rPr>
              <w:t xml:space="preserve"> </w:t>
            </w:r>
            <w:proofErr w:type="spellStart"/>
            <w:r w:rsidRPr="003E2648">
              <w:rPr>
                <w:rFonts w:asciiTheme="majorHAnsi" w:hAnsiTheme="majorHAnsi" w:cstheme="majorHAnsi"/>
              </w:rPr>
              <w:t>aplicados</w:t>
            </w:r>
            <w:proofErr w:type="spellEnd"/>
            <w:r w:rsidRPr="003E2648">
              <w:rPr>
                <w:rFonts w:asciiTheme="majorHAnsi" w:hAnsiTheme="majorHAnsi" w:cstheme="majorHAnsi"/>
              </w:rPr>
              <w:t xml:space="preserve"> (</w:t>
            </w:r>
            <w:proofErr w:type="spellStart"/>
            <w:r w:rsidRPr="003E2648">
              <w:rPr>
                <w:rFonts w:asciiTheme="majorHAnsi" w:hAnsiTheme="majorHAnsi" w:cstheme="majorHAnsi"/>
              </w:rPr>
              <w:t>temos</w:t>
            </w:r>
            <w:proofErr w:type="spellEnd"/>
            <w:r w:rsidRPr="003E2648">
              <w:rPr>
                <w:rFonts w:asciiTheme="majorHAnsi" w:hAnsiTheme="majorHAnsi" w:cstheme="majorHAnsi"/>
              </w:rPr>
              <w:t xml:space="preserve"> </w:t>
            </w:r>
            <w:proofErr w:type="spellStart"/>
            <w:r w:rsidRPr="003E2648">
              <w:rPr>
                <w:rFonts w:asciiTheme="majorHAnsi" w:hAnsiTheme="majorHAnsi" w:cstheme="majorHAnsi"/>
              </w:rPr>
              <w:t>uma</w:t>
            </w:r>
            <w:proofErr w:type="spellEnd"/>
            <w:r w:rsidRPr="003E2648">
              <w:rPr>
                <w:rFonts w:asciiTheme="majorHAnsi" w:hAnsiTheme="majorHAnsi" w:cstheme="majorHAnsi"/>
              </w:rPr>
              <w:t xml:space="preserve"> </w:t>
            </w:r>
            <w:proofErr w:type="spellStart"/>
            <w:r w:rsidRPr="003E2648">
              <w:rPr>
                <w:rFonts w:asciiTheme="majorHAnsi" w:hAnsiTheme="majorHAnsi" w:cstheme="majorHAnsi"/>
              </w:rPr>
              <w:t>subjetividade</w:t>
            </w:r>
            <w:proofErr w:type="spellEnd"/>
            <w:r w:rsidRPr="003E2648">
              <w:rPr>
                <w:rFonts w:asciiTheme="majorHAnsi" w:hAnsiTheme="majorHAnsi" w:cstheme="majorHAnsi"/>
              </w:rPr>
              <w:t xml:space="preserve">). Entre </w:t>
            </w:r>
            <w:proofErr w:type="spellStart"/>
            <w:r w:rsidRPr="003E2648">
              <w:rPr>
                <w:rFonts w:asciiTheme="majorHAnsi" w:hAnsiTheme="majorHAnsi" w:cstheme="majorHAnsi"/>
              </w:rPr>
              <w:t>eles</w:t>
            </w:r>
            <w:proofErr w:type="spellEnd"/>
            <w:r w:rsidRPr="003E2648">
              <w:rPr>
                <w:rFonts w:asciiTheme="majorHAnsi" w:hAnsiTheme="majorHAnsi" w:cstheme="majorHAnsi"/>
              </w:rPr>
              <w:t xml:space="preserve"> </w:t>
            </w:r>
            <w:proofErr w:type="spellStart"/>
            <w:r w:rsidRPr="003E2648">
              <w:rPr>
                <w:rFonts w:asciiTheme="majorHAnsi" w:hAnsiTheme="majorHAnsi" w:cstheme="majorHAnsi"/>
              </w:rPr>
              <w:t>temos</w:t>
            </w:r>
            <w:proofErr w:type="spellEnd"/>
            <w:r w:rsidRPr="003E2648">
              <w:rPr>
                <w:rFonts w:asciiTheme="majorHAnsi" w:hAnsiTheme="majorHAnsi" w:cstheme="majorHAnsi"/>
              </w:rPr>
              <w:t xml:space="preserve">? Magnitude do </w:t>
            </w:r>
            <w:proofErr w:type="spellStart"/>
            <w:r w:rsidRPr="003E2648">
              <w:rPr>
                <w:rFonts w:asciiTheme="majorHAnsi" w:hAnsiTheme="majorHAnsi" w:cstheme="majorHAnsi"/>
              </w:rPr>
              <w:t>efeito</w:t>
            </w:r>
            <w:proofErr w:type="spellEnd"/>
            <w:r w:rsidRPr="003E2648">
              <w:rPr>
                <w:rFonts w:asciiTheme="majorHAnsi" w:hAnsiTheme="majorHAnsi" w:cstheme="majorHAnsi"/>
              </w:rPr>
              <w:t xml:space="preserve">, </w:t>
            </w:r>
            <w:proofErr w:type="spellStart"/>
            <w:r w:rsidRPr="003E2648">
              <w:rPr>
                <w:rFonts w:asciiTheme="majorHAnsi" w:hAnsiTheme="majorHAnsi" w:cstheme="majorHAnsi"/>
              </w:rPr>
              <w:t>relação</w:t>
            </w:r>
            <w:proofErr w:type="spellEnd"/>
            <w:r w:rsidRPr="003E2648">
              <w:rPr>
                <w:rFonts w:asciiTheme="majorHAnsi" w:hAnsiTheme="majorHAnsi" w:cstheme="majorHAnsi"/>
              </w:rPr>
              <w:t xml:space="preserve"> dose- </w:t>
            </w:r>
            <w:proofErr w:type="spellStart"/>
            <w:r w:rsidRPr="003E2648">
              <w:rPr>
                <w:rFonts w:asciiTheme="majorHAnsi" w:hAnsiTheme="majorHAnsi" w:cstheme="majorHAnsi"/>
              </w:rPr>
              <w:t>reposta</w:t>
            </w:r>
            <w:proofErr w:type="spellEnd"/>
            <w:r w:rsidRPr="003E2648">
              <w:rPr>
                <w:rFonts w:asciiTheme="majorHAnsi" w:hAnsiTheme="majorHAnsi" w:cstheme="majorHAnsi"/>
              </w:rPr>
              <w:t xml:space="preserve">, </w:t>
            </w:r>
            <w:proofErr w:type="spellStart"/>
            <w:r w:rsidRPr="003E2648">
              <w:rPr>
                <w:rFonts w:asciiTheme="majorHAnsi" w:hAnsiTheme="majorHAnsi" w:cstheme="majorHAnsi"/>
              </w:rPr>
              <w:t>especificidade</w:t>
            </w:r>
            <w:proofErr w:type="spellEnd"/>
            <w:r w:rsidRPr="003E2648">
              <w:rPr>
                <w:rFonts w:asciiTheme="majorHAnsi" w:hAnsiTheme="majorHAnsi" w:cstheme="majorHAnsi"/>
              </w:rPr>
              <w:t xml:space="preserve"> etc.</w:t>
            </w:r>
          </w:p>
        </w:tc>
        <w:tc>
          <w:tcPr>
            <w:tcW w:w="3544" w:type="dxa"/>
          </w:tcPr>
          <w:p w14:paraId="317B29EE" w14:textId="77777777" w:rsidR="00330CB3" w:rsidRPr="000728CD" w:rsidRDefault="00330CB3" w:rsidP="00B04C3C">
            <w:pPr>
              <w:rPr>
                <w:rFonts w:asciiTheme="majorHAnsi" w:hAnsiTheme="majorHAnsi" w:cstheme="majorHAnsi"/>
              </w:rPr>
            </w:pPr>
          </w:p>
        </w:tc>
      </w:tr>
      <w:bookmarkEnd w:id="0"/>
      <w:tr w:rsidR="00330CB3" w:rsidRPr="000728CD" w14:paraId="631CA8F3" w14:textId="0DBEDB1B" w:rsidTr="007B3C98">
        <w:trPr>
          <w:trHeight w:val="1572"/>
        </w:trPr>
        <w:tc>
          <w:tcPr>
            <w:tcW w:w="2547" w:type="dxa"/>
          </w:tcPr>
          <w:p w14:paraId="0DE0D9CB" w14:textId="77777777" w:rsidR="00330CB3" w:rsidRPr="000728CD" w:rsidRDefault="00330CB3" w:rsidP="00B04C3C">
            <w:pPr>
              <w:rPr>
                <w:rFonts w:asciiTheme="majorHAnsi" w:hAnsiTheme="majorHAnsi" w:cstheme="majorHAnsi"/>
                <w:noProof/>
              </w:rPr>
            </w:pPr>
          </w:p>
        </w:tc>
        <w:tc>
          <w:tcPr>
            <w:tcW w:w="3544" w:type="dxa"/>
          </w:tcPr>
          <w:p w14:paraId="060FFF8A" w14:textId="77777777" w:rsidR="00330CB3" w:rsidRPr="00F0469F" w:rsidRDefault="00330CB3" w:rsidP="00B04C3C">
            <w:pPr>
              <w:autoSpaceDE w:val="0"/>
              <w:autoSpaceDN w:val="0"/>
              <w:adjustRightInd w:val="0"/>
              <w:jc w:val="both"/>
              <w:rPr>
                <w:rFonts w:asciiTheme="majorHAnsi" w:hAnsiTheme="majorHAnsi" w:cstheme="majorHAnsi"/>
                <w:i/>
                <w:iCs/>
              </w:rPr>
            </w:pPr>
            <w:bookmarkStart w:id="1" w:name="_Hlk74665183"/>
            <w:r w:rsidRPr="00F0469F">
              <w:rPr>
                <w:rFonts w:asciiTheme="majorHAnsi" w:hAnsiTheme="majorHAnsi" w:cstheme="majorHAnsi"/>
                <w:i/>
                <w:iCs/>
              </w:rPr>
              <w:t xml:space="preserve">E </w:t>
            </w:r>
            <w:proofErr w:type="gramStart"/>
            <w:r w:rsidRPr="00F0469F">
              <w:rPr>
                <w:rFonts w:asciiTheme="majorHAnsi" w:hAnsiTheme="majorHAnsi" w:cstheme="majorHAnsi"/>
                <w:i/>
                <w:iCs/>
              </w:rPr>
              <w:t>a</w:t>
            </w:r>
            <w:proofErr w:type="gramEnd"/>
            <w:r w:rsidRPr="00F0469F">
              <w:rPr>
                <w:rFonts w:asciiTheme="majorHAnsi" w:hAnsiTheme="majorHAnsi" w:cstheme="majorHAnsi"/>
                <w:i/>
                <w:iCs/>
              </w:rPr>
              <w:t xml:space="preserve"> </w:t>
            </w:r>
            <w:proofErr w:type="spellStart"/>
            <w:r w:rsidRPr="00F0469F">
              <w:rPr>
                <w:rFonts w:asciiTheme="majorHAnsi" w:hAnsiTheme="majorHAnsi" w:cstheme="majorHAnsi"/>
                <w:i/>
                <w:iCs/>
              </w:rPr>
              <w:t>alegação</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pleiteada</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incluindo</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seu</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grau</w:t>
            </w:r>
            <w:proofErr w:type="spellEnd"/>
            <w:r w:rsidRPr="00F0469F">
              <w:rPr>
                <w:rFonts w:asciiTheme="majorHAnsi" w:hAnsiTheme="majorHAnsi" w:cstheme="majorHAnsi"/>
                <w:i/>
                <w:iCs/>
              </w:rPr>
              <w:t xml:space="preserve"> de </w:t>
            </w:r>
            <w:proofErr w:type="spellStart"/>
            <w:r w:rsidRPr="00F0469F">
              <w:rPr>
                <w:rFonts w:asciiTheme="majorHAnsi" w:hAnsiTheme="majorHAnsi" w:cstheme="majorHAnsi"/>
                <w:i/>
                <w:iCs/>
              </w:rPr>
              <w:t>especificidade</w:t>
            </w:r>
            <w:proofErr w:type="spellEnd"/>
            <w:r w:rsidRPr="00F0469F">
              <w:rPr>
                <w:rFonts w:asciiTheme="majorHAnsi" w:hAnsiTheme="majorHAnsi" w:cstheme="majorHAnsi"/>
                <w:i/>
                <w:iCs/>
              </w:rPr>
              <w:t xml:space="preserve"> e </w:t>
            </w:r>
            <w:proofErr w:type="spellStart"/>
            <w:r w:rsidRPr="00F0469F">
              <w:rPr>
                <w:rFonts w:asciiTheme="majorHAnsi" w:hAnsiTheme="majorHAnsi" w:cstheme="majorHAnsi"/>
                <w:i/>
                <w:iCs/>
              </w:rPr>
              <w:t>assertividade</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deve</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refletir</w:t>
            </w:r>
            <w:proofErr w:type="spellEnd"/>
            <w:r w:rsidRPr="00F0469F">
              <w:rPr>
                <w:rFonts w:asciiTheme="majorHAnsi" w:hAnsiTheme="majorHAnsi" w:cstheme="majorHAnsi"/>
                <w:i/>
                <w:iCs/>
              </w:rPr>
              <w:t xml:space="preserve"> a </w:t>
            </w:r>
            <w:proofErr w:type="spellStart"/>
            <w:r w:rsidRPr="00F0469F">
              <w:rPr>
                <w:rFonts w:asciiTheme="majorHAnsi" w:hAnsiTheme="majorHAnsi" w:cstheme="majorHAnsi"/>
                <w:i/>
                <w:iCs/>
              </w:rPr>
              <w:t>qualidade</w:t>
            </w:r>
            <w:proofErr w:type="spellEnd"/>
            <w:r w:rsidRPr="00F0469F">
              <w:rPr>
                <w:rFonts w:asciiTheme="majorHAnsi" w:hAnsiTheme="majorHAnsi" w:cstheme="majorHAnsi"/>
                <w:i/>
                <w:iCs/>
              </w:rPr>
              <w:t xml:space="preserve"> do conjunto de </w:t>
            </w:r>
            <w:proofErr w:type="spellStart"/>
            <w:r w:rsidRPr="00F0469F">
              <w:rPr>
                <w:rFonts w:asciiTheme="majorHAnsi" w:hAnsiTheme="majorHAnsi" w:cstheme="majorHAnsi"/>
                <w:i/>
                <w:iCs/>
              </w:rPr>
              <w:t>evidências</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incluídas</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ao</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dossiê</w:t>
            </w:r>
            <w:proofErr w:type="spellEnd"/>
            <w:r w:rsidRPr="00F0469F">
              <w:rPr>
                <w:rFonts w:asciiTheme="majorHAnsi" w:hAnsiTheme="majorHAnsi" w:cstheme="majorHAnsi"/>
                <w:i/>
                <w:iCs/>
              </w:rPr>
              <w:t xml:space="preserve">. A </w:t>
            </w:r>
            <w:proofErr w:type="spellStart"/>
            <w:r w:rsidRPr="00F0469F">
              <w:rPr>
                <w:rFonts w:asciiTheme="majorHAnsi" w:hAnsiTheme="majorHAnsi" w:cstheme="majorHAnsi"/>
                <w:i/>
                <w:iCs/>
              </w:rPr>
              <w:t>área</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não</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descarta</w:t>
            </w:r>
            <w:proofErr w:type="spellEnd"/>
            <w:r w:rsidRPr="00F0469F">
              <w:rPr>
                <w:rFonts w:asciiTheme="majorHAnsi" w:hAnsiTheme="majorHAnsi" w:cstheme="majorHAnsi"/>
                <w:i/>
                <w:iCs/>
              </w:rPr>
              <w:t xml:space="preserve"> a </w:t>
            </w:r>
            <w:proofErr w:type="spellStart"/>
            <w:r w:rsidRPr="00F0469F">
              <w:rPr>
                <w:rFonts w:asciiTheme="majorHAnsi" w:hAnsiTheme="majorHAnsi" w:cstheme="majorHAnsi"/>
                <w:i/>
                <w:iCs/>
              </w:rPr>
              <w:t>possibilidade</w:t>
            </w:r>
            <w:proofErr w:type="spellEnd"/>
            <w:r w:rsidRPr="00F0469F">
              <w:rPr>
                <w:rFonts w:asciiTheme="majorHAnsi" w:hAnsiTheme="majorHAnsi" w:cstheme="majorHAnsi"/>
                <w:i/>
                <w:iCs/>
              </w:rPr>
              <w:t xml:space="preserve"> de </w:t>
            </w:r>
            <w:proofErr w:type="spellStart"/>
            <w:r w:rsidRPr="00F0469F">
              <w:rPr>
                <w:rFonts w:asciiTheme="majorHAnsi" w:hAnsiTheme="majorHAnsi" w:cstheme="majorHAnsi"/>
                <w:i/>
                <w:iCs/>
              </w:rPr>
              <w:t>uso</w:t>
            </w:r>
            <w:proofErr w:type="spellEnd"/>
            <w:r w:rsidRPr="00F0469F">
              <w:rPr>
                <w:rFonts w:asciiTheme="majorHAnsi" w:hAnsiTheme="majorHAnsi" w:cstheme="majorHAnsi"/>
                <w:i/>
                <w:iCs/>
              </w:rPr>
              <w:t xml:space="preserve"> de </w:t>
            </w:r>
            <w:proofErr w:type="spellStart"/>
            <w:r w:rsidRPr="00F0469F">
              <w:rPr>
                <w:rFonts w:asciiTheme="majorHAnsi" w:hAnsiTheme="majorHAnsi" w:cstheme="majorHAnsi"/>
                <w:i/>
                <w:iCs/>
              </w:rPr>
              <w:t>expressões</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como</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pode</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contribuir</w:t>
            </w:r>
            <w:proofErr w:type="spellEnd"/>
            <w:r w:rsidRPr="00F0469F">
              <w:rPr>
                <w:rFonts w:asciiTheme="majorHAnsi" w:hAnsiTheme="majorHAnsi" w:cstheme="majorHAnsi"/>
                <w:i/>
                <w:iCs/>
              </w:rPr>
              <w:t xml:space="preserve">” no </w:t>
            </w:r>
            <w:proofErr w:type="spellStart"/>
            <w:r w:rsidRPr="00F0469F">
              <w:rPr>
                <w:rFonts w:asciiTheme="majorHAnsi" w:hAnsiTheme="majorHAnsi" w:cstheme="majorHAnsi"/>
                <w:i/>
                <w:iCs/>
              </w:rPr>
              <w:t>intuito</w:t>
            </w:r>
            <w:proofErr w:type="spellEnd"/>
            <w:r w:rsidRPr="00F0469F">
              <w:rPr>
                <w:rFonts w:asciiTheme="majorHAnsi" w:hAnsiTheme="majorHAnsi" w:cstheme="majorHAnsi"/>
                <w:i/>
                <w:iCs/>
              </w:rPr>
              <w:t xml:space="preserve"> de </w:t>
            </w:r>
            <w:proofErr w:type="spellStart"/>
            <w:r w:rsidRPr="00F0469F">
              <w:rPr>
                <w:rFonts w:asciiTheme="majorHAnsi" w:hAnsiTheme="majorHAnsi" w:cstheme="majorHAnsi"/>
                <w:i/>
                <w:iCs/>
              </w:rPr>
              <w:t>qualificar</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alegações</w:t>
            </w:r>
            <w:proofErr w:type="spellEnd"/>
            <w:r w:rsidRPr="00F0469F">
              <w:rPr>
                <w:rFonts w:asciiTheme="majorHAnsi" w:hAnsiTheme="majorHAnsi" w:cstheme="majorHAnsi"/>
                <w:i/>
                <w:iCs/>
              </w:rPr>
              <w:t xml:space="preserve"> com </w:t>
            </w:r>
            <w:proofErr w:type="spellStart"/>
            <w:r w:rsidRPr="00F0469F">
              <w:rPr>
                <w:rFonts w:asciiTheme="majorHAnsi" w:hAnsiTheme="majorHAnsi" w:cstheme="majorHAnsi"/>
                <w:i/>
                <w:iCs/>
              </w:rPr>
              <w:t>menor</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qualidade</w:t>
            </w:r>
            <w:proofErr w:type="spellEnd"/>
            <w:r w:rsidRPr="00F0469F">
              <w:rPr>
                <w:rFonts w:asciiTheme="majorHAnsi" w:hAnsiTheme="majorHAnsi" w:cstheme="majorHAnsi"/>
                <w:i/>
                <w:iCs/>
              </w:rPr>
              <w:t xml:space="preserve"> de </w:t>
            </w:r>
            <w:proofErr w:type="spellStart"/>
            <w:r w:rsidRPr="00F0469F">
              <w:rPr>
                <w:rFonts w:asciiTheme="majorHAnsi" w:hAnsiTheme="majorHAnsi" w:cstheme="majorHAnsi"/>
                <w:i/>
                <w:iCs/>
              </w:rPr>
              <w:t>evidência</w:t>
            </w:r>
            <w:proofErr w:type="spellEnd"/>
            <w:r w:rsidRPr="00F0469F">
              <w:rPr>
                <w:rFonts w:asciiTheme="majorHAnsi" w:hAnsiTheme="majorHAnsi" w:cstheme="majorHAnsi"/>
                <w:i/>
                <w:iCs/>
              </w:rPr>
              <w:t xml:space="preserve">. Essa é </w:t>
            </w:r>
            <w:proofErr w:type="spellStart"/>
            <w:r w:rsidRPr="00F0469F">
              <w:rPr>
                <w:rFonts w:asciiTheme="majorHAnsi" w:hAnsiTheme="majorHAnsi" w:cstheme="majorHAnsi"/>
                <w:i/>
                <w:iCs/>
              </w:rPr>
              <w:t>uma</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maturidade</w:t>
            </w:r>
            <w:proofErr w:type="spellEnd"/>
            <w:r w:rsidRPr="00F0469F">
              <w:rPr>
                <w:rFonts w:asciiTheme="majorHAnsi" w:hAnsiTheme="majorHAnsi" w:cstheme="majorHAnsi"/>
                <w:i/>
                <w:iCs/>
              </w:rPr>
              <w:t xml:space="preserve"> que a</w:t>
            </w:r>
            <w:bookmarkEnd w:id="1"/>
            <w:r w:rsidRPr="00F0469F">
              <w:rPr>
                <w:rFonts w:asciiTheme="majorHAnsi" w:hAnsiTheme="majorHAnsi" w:cstheme="majorHAnsi"/>
                <w:i/>
                <w:iCs/>
              </w:rPr>
              <w:t xml:space="preserve"> </w:t>
            </w:r>
            <w:proofErr w:type="spellStart"/>
            <w:r w:rsidRPr="00F0469F">
              <w:rPr>
                <w:rFonts w:asciiTheme="majorHAnsi" w:hAnsiTheme="majorHAnsi" w:cstheme="majorHAnsi"/>
                <w:i/>
                <w:iCs/>
              </w:rPr>
              <w:t>área</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lastRenderedPageBreak/>
              <w:t>acumulará</w:t>
            </w:r>
            <w:proofErr w:type="spellEnd"/>
            <w:r w:rsidRPr="00F0469F">
              <w:rPr>
                <w:rFonts w:asciiTheme="majorHAnsi" w:hAnsiTheme="majorHAnsi" w:cstheme="majorHAnsi"/>
                <w:i/>
                <w:iCs/>
              </w:rPr>
              <w:t xml:space="preserve"> com a </w:t>
            </w:r>
            <w:proofErr w:type="spellStart"/>
            <w:r w:rsidRPr="00F0469F">
              <w:rPr>
                <w:rFonts w:asciiTheme="majorHAnsi" w:hAnsiTheme="majorHAnsi" w:cstheme="majorHAnsi"/>
                <w:i/>
                <w:iCs/>
              </w:rPr>
              <w:t>própria</w:t>
            </w:r>
            <w:proofErr w:type="spellEnd"/>
            <w:r w:rsidRPr="00F0469F">
              <w:rPr>
                <w:rFonts w:asciiTheme="majorHAnsi" w:hAnsiTheme="majorHAnsi" w:cstheme="majorHAnsi"/>
                <w:i/>
                <w:iCs/>
              </w:rPr>
              <w:t xml:space="preserve"> </w:t>
            </w:r>
            <w:proofErr w:type="spellStart"/>
            <w:r w:rsidRPr="00F0469F">
              <w:rPr>
                <w:rFonts w:asciiTheme="majorHAnsi" w:hAnsiTheme="majorHAnsi" w:cstheme="majorHAnsi"/>
                <w:i/>
                <w:iCs/>
              </w:rPr>
              <w:t>aplicação</w:t>
            </w:r>
            <w:proofErr w:type="spellEnd"/>
            <w:r w:rsidRPr="00F0469F">
              <w:rPr>
                <w:rFonts w:asciiTheme="majorHAnsi" w:hAnsiTheme="majorHAnsi" w:cstheme="majorHAnsi"/>
                <w:i/>
                <w:iCs/>
              </w:rPr>
              <w:t xml:space="preserve"> </w:t>
            </w:r>
            <w:bookmarkStart w:id="2" w:name="_Hlk74665203"/>
            <w:r w:rsidRPr="00F0469F">
              <w:rPr>
                <w:rFonts w:asciiTheme="majorHAnsi" w:hAnsiTheme="majorHAnsi" w:cstheme="majorHAnsi"/>
                <w:i/>
                <w:iCs/>
              </w:rPr>
              <w:t xml:space="preserve">do </w:t>
            </w:r>
            <w:proofErr w:type="spellStart"/>
            <w:r w:rsidRPr="00F0469F">
              <w:rPr>
                <w:rFonts w:asciiTheme="majorHAnsi" w:hAnsiTheme="majorHAnsi" w:cstheme="majorHAnsi"/>
                <w:i/>
                <w:iCs/>
              </w:rPr>
              <w:t>Guia</w:t>
            </w:r>
            <w:proofErr w:type="spellEnd"/>
            <w:r w:rsidRPr="00F0469F">
              <w:rPr>
                <w:rFonts w:asciiTheme="majorHAnsi" w:hAnsiTheme="majorHAnsi" w:cstheme="majorHAnsi"/>
                <w:i/>
                <w:iCs/>
              </w:rPr>
              <w:t>.</w:t>
            </w:r>
            <w:bookmarkEnd w:id="2"/>
          </w:p>
        </w:tc>
        <w:tc>
          <w:tcPr>
            <w:tcW w:w="3827" w:type="dxa"/>
          </w:tcPr>
          <w:p w14:paraId="2ECB0CDA" w14:textId="77777777" w:rsidR="00330CB3" w:rsidRPr="000728CD" w:rsidRDefault="00330CB3" w:rsidP="00B04C3C">
            <w:pPr>
              <w:jc w:val="both"/>
              <w:rPr>
                <w:rFonts w:asciiTheme="majorHAnsi" w:hAnsiTheme="majorHAnsi" w:cstheme="majorHAnsi"/>
              </w:rPr>
            </w:pPr>
            <w:r w:rsidRPr="00593955">
              <w:rPr>
                <w:rFonts w:asciiTheme="majorHAnsi" w:hAnsiTheme="majorHAnsi" w:cstheme="majorHAnsi"/>
              </w:rPr>
              <w:lastRenderedPageBreak/>
              <w:t xml:space="preserve">Das </w:t>
            </w:r>
            <w:proofErr w:type="spellStart"/>
            <w:r w:rsidRPr="00593955">
              <w:rPr>
                <w:rFonts w:asciiTheme="majorHAnsi" w:hAnsiTheme="majorHAnsi" w:cstheme="majorHAnsi"/>
              </w:rPr>
              <w:t>discussões</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iniciais</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infere</w:t>
            </w:r>
            <w:proofErr w:type="spellEnd"/>
            <w:r w:rsidRPr="00593955">
              <w:rPr>
                <w:rFonts w:asciiTheme="majorHAnsi" w:hAnsiTheme="majorHAnsi" w:cstheme="majorHAnsi"/>
              </w:rPr>
              <w:t xml:space="preserve">-se que </w:t>
            </w:r>
            <w:proofErr w:type="gramStart"/>
            <w:r w:rsidRPr="00593955">
              <w:rPr>
                <w:rFonts w:asciiTheme="majorHAnsi" w:hAnsiTheme="majorHAnsi" w:cstheme="majorHAnsi"/>
              </w:rPr>
              <w:t>a</w:t>
            </w:r>
            <w:proofErr w:type="gramEnd"/>
            <w:r w:rsidRPr="00593955">
              <w:rPr>
                <w:rFonts w:asciiTheme="majorHAnsi" w:hAnsiTheme="majorHAnsi" w:cstheme="majorHAnsi"/>
              </w:rPr>
              <w:t xml:space="preserve"> </w:t>
            </w:r>
            <w:proofErr w:type="spellStart"/>
            <w:r w:rsidRPr="00593955">
              <w:rPr>
                <w:rFonts w:asciiTheme="majorHAnsi" w:hAnsiTheme="majorHAnsi" w:cstheme="majorHAnsi"/>
              </w:rPr>
              <w:t>agência</w:t>
            </w:r>
            <w:proofErr w:type="spellEnd"/>
            <w:r w:rsidRPr="00593955">
              <w:rPr>
                <w:rFonts w:asciiTheme="majorHAnsi" w:hAnsiTheme="majorHAnsi" w:cstheme="majorHAnsi"/>
              </w:rPr>
              <w:t xml:space="preserve"> previa a </w:t>
            </w:r>
            <w:proofErr w:type="spellStart"/>
            <w:r w:rsidRPr="00593955">
              <w:rPr>
                <w:rFonts w:asciiTheme="majorHAnsi" w:hAnsiTheme="majorHAnsi" w:cstheme="majorHAnsi"/>
              </w:rPr>
              <w:t>possibilidade</w:t>
            </w:r>
            <w:proofErr w:type="spellEnd"/>
            <w:r w:rsidRPr="00593955">
              <w:rPr>
                <w:rFonts w:asciiTheme="majorHAnsi" w:hAnsiTheme="majorHAnsi" w:cstheme="majorHAnsi"/>
              </w:rPr>
              <w:t xml:space="preserve"> de que as </w:t>
            </w:r>
            <w:proofErr w:type="spellStart"/>
            <w:r w:rsidRPr="00593955">
              <w:rPr>
                <w:rFonts w:asciiTheme="majorHAnsi" w:hAnsiTheme="majorHAnsi" w:cstheme="majorHAnsi"/>
              </w:rPr>
              <w:t>alegações</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refletissem</w:t>
            </w:r>
            <w:proofErr w:type="spellEnd"/>
            <w:r w:rsidRPr="00593955">
              <w:rPr>
                <w:rFonts w:asciiTheme="majorHAnsi" w:hAnsiTheme="majorHAnsi" w:cstheme="majorHAnsi"/>
              </w:rPr>
              <w:t xml:space="preserve"> a </w:t>
            </w:r>
            <w:proofErr w:type="spellStart"/>
            <w:r w:rsidRPr="00593955">
              <w:rPr>
                <w:rFonts w:asciiTheme="majorHAnsi" w:hAnsiTheme="majorHAnsi" w:cstheme="majorHAnsi"/>
              </w:rPr>
              <w:t>força</w:t>
            </w:r>
            <w:proofErr w:type="spellEnd"/>
            <w:r w:rsidRPr="00593955">
              <w:rPr>
                <w:rFonts w:asciiTheme="majorHAnsi" w:hAnsiTheme="majorHAnsi" w:cstheme="majorHAnsi"/>
              </w:rPr>
              <w:t xml:space="preserve"> e a </w:t>
            </w:r>
            <w:proofErr w:type="spellStart"/>
            <w:r w:rsidRPr="00593955">
              <w:rPr>
                <w:rFonts w:asciiTheme="majorHAnsi" w:hAnsiTheme="majorHAnsi" w:cstheme="majorHAnsi"/>
              </w:rPr>
              <w:t>qualidade</w:t>
            </w:r>
            <w:proofErr w:type="spellEnd"/>
            <w:r w:rsidRPr="00593955">
              <w:rPr>
                <w:rFonts w:asciiTheme="majorHAnsi" w:hAnsiTheme="majorHAnsi" w:cstheme="majorHAnsi"/>
              </w:rPr>
              <w:t xml:space="preserve"> da </w:t>
            </w:r>
            <w:proofErr w:type="spellStart"/>
            <w:r w:rsidRPr="00593955">
              <w:rPr>
                <w:rFonts w:asciiTheme="majorHAnsi" w:hAnsiTheme="majorHAnsi" w:cstheme="majorHAnsi"/>
              </w:rPr>
              <w:t>evidência</w:t>
            </w:r>
            <w:proofErr w:type="spellEnd"/>
            <w:r w:rsidRPr="00593955">
              <w:rPr>
                <w:rFonts w:asciiTheme="majorHAnsi" w:hAnsiTheme="majorHAnsi" w:cstheme="majorHAnsi"/>
              </w:rPr>
              <w:t xml:space="preserve">, o que </w:t>
            </w:r>
            <w:proofErr w:type="spellStart"/>
            <w:r w:rsidRPr="00593955">
              <w:rPr>
                <w:rFonts w:asciiTheme="majorHAnsi" w:hAnsiTheme="majorHAnsi" w:cstheme="majorHAnsi"/>
              </w:rPr>
              <w:t>estaria</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em</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linha</w:t>
            </w:r>
            <w:proofErr w:type="spellEnd"/>
            <w:r w:rsidRPr="00593955">
              <w:rPr>
                <w:rFonts w:asciiTheme="majorHAnsi" w:hAnsiTheme="majorHAnsi" w:cstheme="majorHAnsi"/>
              </w:rPr>
              <w:t xml:space="preserve"> com o </w:t>
            </w:r>
            <w:proofErr w:type="spellStart"/>
            <w:r w:rsidRPr="00593955">
              <w:rPr>
                <w:rFonts w:asciiTheme="majorHAnsi" w:hAnsiTheme="majorHAnsi" w:cstheme="majorHAnsi"/>
              </w:rPr>
              <w:t>objetivo</w:t>
            </w:r>
            <w:proofErr w:type="spellEnd"/>
            <w:r w:rsidRPr="00593955">
              <w:rPr>
                <w:rFonts w:asciiTheme="majorHAnsi" w:hAnsiTheme="majorHAnsi" w:cstheme="majorHAnsi"/>
              </w:rPr>
              <w:t xml:space="preserve"> do </w:t>
            </w:r>
            <w:proofErr w:type="spellStart"/>
            <w:r w:rsidRPr="00593955">
              <w:rPr>
                <w:rFonts w:asciiTheme="majorHAnsi" w:hAnsiTheme="majorHAnsi" w:cstheme="majorHAnsi"/>
              </w:rPr>
              <w:t>marco</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regulatório</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em</w:t>
            </w:r>
            <w:proofErr w:type="spellEnd"/>
            <w:r w:rsidRPr="00593955">
              <w:rPr>
                <w:rFonts w:asciiTheme="majorHAnsi" w:hAnsiTheme="majorHAnsi" w:cstheme="majorHAnsi"/>
              </w:rPr>
              <w:t xml:space="preserve"> que a </w:t>
            </w:r>
            <w:proofErr w:type="spellStart"/>
            <w:r w:rsidRPr="00593955">
              <w:rPr>
                <w:rFonts w:asciiTheme="majorHAnsi" w:hAnsiTheme="majorHAnsi" w:cstheme="majorHAnsi"/>
              </w:rPr>
              <w:t>segurança</w:t>
            </w:r>
            <w:proofErr w:type="spellEnd"/>
            <w:r w:rsidRPr="00593955">
              <w:rPr>
                <w:rFonts w:asciiTheme="majorHAnsi" w:hAnsiTheme="majorHAnsi" w:cstheme="majorHAnsi"/>
              </w:rPr>
              <w:t xml:space="preserve"> do </w:t>
            </w:r>
            <w:proofErr w:type="spellStart"/>
            <w:r w:rsidRPr="00593955">
              <w:rPr>
                <w:rFonts w:asciiTheme="majorHAnsi" w:hAnsiTheme="majorHAnsi" w:cstheme="majorHAnsi"/>
              </w:rPr>
              <w:t>suplemento</w:t>
            </w:r>
            <w:proofErr w:type="spellEnd"/>
            <w:r w:rsidRPr="00593955">
              <w:rPr>
                <w:rFonts w:asciiTheme="majorHAnsi" w:hAnsiTheme="majorHAnsi" w:cstheme="majorHAnsi"/>
              </w:rPr>
              <w:t xml:space="preserve"> é </w:t>
            </w:r>
            <w:proofErr w:type="spellStart"/>
            <w:r w:rsidRPr="00593955">
              <w:rPr>
                <w:rFonts w:asciiTheme="majorHAnsi" w:hAnsiTheme="majorHAnsi" w:cstheme="majorHAnsi"/>
              </w:rPr>
              <w:t>foco</w:t>
            </w:r>
            <w:proofErr w:type="spellEnd"/>
            <w:r w:rsidRPr="00593955">
              <w:rPr>
                <w:rFonts w:asciiTheme="majorHAnsi" w:hAnsiTheme="majorHAnsi" w:cstheme="majorHAnsi"/>
              </w:rPr>
              <w:t xml:space="preserve"> principal, </w:t>
            </w:r>
            <w:proofErr w:type="spellStart"/>
            <w:r w:rsidRPr="00593955">
              <w:rPr>
                <w:rFonts w:asciiTheme="majorHAnsi" w:hAnsiTheme="majorHAnsi" w:cstheme="majorHAnsi"/>
              </w:rPr>
              <w:t>qualquer</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alegação</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cuja</w:t>
            </w:r>
            <w:proofErr w:type="spellEnd"/>
            <w:r>
              <w:rPr>
                <w:rFonts w:asciiTheme="majorHAnsi" w:hAnsiTheme="majorHAnsi" w:cstheme="majorHAnsi"/>
                <w:b/>
                <w:bCs/>
              </w:rPr>
              <w:t xml:space="preserve"> </w:t>
            </w:r>
            <w:proofErr w:type="spellStart"/>
            <w:r w:rsidRPr="00593955">
              <w:rPr>
                <w:rFonts w:asciiTheme="majorHAnsi" w:hAnsiTheme="majorHAnsi" w:cstheme="majorHAnsi"/>
              </w:rPr>
              <w:t>evidência</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não</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atingisse</w:t>
            </w:r>
            <w:proofErr w:type="spellEnd"/>
            <w:r w:rsidRPr="00593955">
              <w:rPr>
                <w:rFonts w:asciiTheme="majorHAnsi" w:hAnsiTheme="majorHAnsi" w:cstheme="majorHAnsi"/>
              </w:rPr>
              <w:t xml:space="preserve"> um </w:t>
            </w:r>
            <w:proofErr w:type="spellStart"/>
            <w:r w:rsidRPr="00593955">
              <w:rPr>
                <w:rFonts w:asciiTheme="majorHAnsi" w:hAnsiTheme="majorHAnsi" w:cstheme="majorHAnsi"/>
              </w:rPr>
              <w:t>padrão</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ouro</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poderia</w:t>
            </w:r>
            <w:proofErr w:type="spellEnd"/>
            <w:r w:rsidRPr="00593955">
              <w:rPr>
                <w:rFonts w:asciiTheme="majorHAnsi" w:hAnsiTheme="majorHAnsi" w:cstheme="majorHAnsi"/>
              </w:rPr>
              <w:t xml:space="preserve"> ser </w:t>
            </w:r>
            <w:proofErr w:type="spellStart"/>
            <w:r w:rsidRPr="00593955">
              <w:rPr>
                <w:rFonts w:asciiTheme="majorHAnsi" w:hAnsiTheme="majorHAnsi" w:cstheme="majorHAnsi"/>
              </w:rPr>
              <w:t>descrita</w:t>
            </w:r>
            <w:proofErr w:type="spellEnd"/>
            <w:r w:rsidRPr="00593955">
              <w:rPr>
                <w:rFonts w:asciiTheme="majorHAnsi" w:hAnsiTheme="majorHAnsi" w:cstheme="majorHAnsi"/>
              </w:rPr>
              <w:t xml:space="preserve"> de </w:t>
            </w:r>
            <w:proofErr w:type="spellStart"/>
            <w:r>
              <w:rPr>
                <w:rFonts w:asciiTheme="majorHAnsi" w:hAnsiTheme="majorHAnsi" w:cstheme="majorHAnsi"/>
              </w:rPr>
              <w:t>tal</w:t>
            </w:r>
            <w:proofErr w:type="spellEnd"/>
            <w:r>
              <w:rPr>
                <w:rFonts w:asciiTheme="majorHAnsi" w:hAnsiTheme="majorHAnsi" w:cstheme="majorHAnsi"/>
              </w:rPr>
              <w:t xml:space="preserve"> </w:t>
            </w:r>
            <w:r w:rsidRPr="00593955">
              <w:rPr>
                <w:rFonts w:asciiTheme="majorHAnsi" w:hAnsiTheme="majorHAnsi" w:cstheme="majorHAnsi"/>
              </w:rPr>
              <w:t xml:space="preserve">forma </w:t>
            </w:r>
            <w:r>
              <w:rPr>
                <w:rFonts w:asciiTheme="majorHAnsi" w:hAnsiTheme="majorHAnsi" w:cstheme="majorHAnsi"/>
              </w:rPr>
              <w:t xml:space="preserve">que </w:t>
            </w:r>
            <w:proofErr w:type="spellStart"/>
            <w:r>
              <w:rPr>
                <w:rFonts w:asciiTheme="majorHAnsi" w:hAnsiTheme="majorHAnsi" w:cstheme="majorHAnsi"/>
              </w:rPr>
              <w:t>levasse</w:t>
            </w:r>
            <w:proofErr w:type="spellEnd"/>
            <w:r>
              <w:rPr>
                <w:rFonts w:asciiTheme="majorHAnsi" w:hAnsiTheme="majorHAnsi" w:cstheme="majorHAnsi"/>
              </w:rPr>
              <w:t xml:space="preserve"> </w:t>
            </w:r>
            <w:proofErr w:type="spellStart"/>
            <w:r>
              <w:rPr>
                <w:rFonts w:asciiTheme="majorHAnsi" w:hAnsiTheme="majorHAnsi" w:cstheme="majorHAnsi"/>
              </w:rPr>
              <w:t>essa</w:t>
            </w:r>
            <w:proofErr w:type="spellEnd"/>
            <w:r>
              <w:rPr>
                <w:rFonts w:asciiTheme="majorHAnsi" w:hAnsiTheme="majorHAnsi" w:cstheme="majorHAnsi"/>
              </w:rPr>
              <w:t xml:space="preserve"> </w:t>
            </w:r>
            <w:proofErr w:type="spellStart"/>
            <w:r>
              <w:rPr>
                <w:rFonts w:asciiTheme="majorHAnsi" w:hAnsiTheme="majorHAnsi" w:cstheme="majorHAnsi"/>
              </w:rPr>
              <w:t>informação</w:t>
            </w:r>
            <w:proofErr w:type="spellEnd"/>
            <w:r>
              <w:rPr>
                <w:rFonts w:asciiTheme="majorHAnsi" w:hAnsiTheme="majorHAnsi" w:cstheme="majorHAnsi"/>
              </w:rPr>
              <w:t xml:space="preserve"> </w:t>
            </w:r>
            <w:proofErr w:type="spellStart"/>
            <w:r>
              <w:rPr>
                <w:rFonts w:asciiTheme="majorHAnsi" w:hAnsiTheme="majorHAnsi" w:cstheme="majorHAnsi"/>
              </w:rPr>
              <w:t>ao</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lastRenderedPageBreak/>
              <w:t>consumidor</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abordagem</w:t>
            </w:r>
            <w:proofErr w:type="spellEnd"/>
            <w:r w:rsidRPr="00593955">
              <w:rPr>
                <w:rFonts w:asciiTheme="majorHAnsi" w:hAnsiTheme="majorHAnsi" w:cstheme="majorHAnsi"/>
              </w:rPr>
              <w:t xml:space="preserve"> de Qualified Health claim do FDA).  O que se </w:t>
            </w:r>
            <w:proofErr w:type="spellStart"/>
            <w:r w:rsidRPr="00593955">
              <w:rPr>
                <w:rFonts w:asciiTheme="majorHAnsi" w:hAnsiTheme="majorHAnsi" w:cstheme="majorHAnsi"/>
              </w:rPr>
              <w:t>observa</w:t>
            </w:r>
            <w:proofErr w:type="spellEnd"/>
            <w:r w:rsidRPr="00593955">
              <w:rPr>
                <w:rFonts w:asciiTheme="majorHAnsi" w:hAnsiTheme="majorHAnsi" w:cstheme="majorHAnsi"/>
              </w:rPr>
              <w:t xml:space="preserve"> é que </w:t>
            </w:r>
            <w:proofErr w:type="spellStart"/>
            <w:r w:rsidRPr="00593955">
              <w:rPr>
                <w:rFonts w:asciiTheme="majorHAnsi" w:hAnsiTheme="majorHAnsi" w:cstheme="majorHAnsi"/>
              </w:rPr>
              <w:t>isso</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foi</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trazido</w:t>
            </w:r>
            <w:proofErr w:type="spellEnd"/>
            <w:r w:rsidRPr="00593955">
              <w:rPr>
                <w:rFonts w:asciiTheme="majorHAnsi" w:hAnsiTheme="majorHAnsi" w:cstheme="majorHAnsi"/>
              </w:rPr>
              <w:t xml:space="preserve"> para </w:t>
            </w:r>
            <w:proofErr w:type="spellStart"/>
            <w:r w:rsidRPr="00593955">
              <w:rPr>
                <w:rFonts w:asciiTheme="majorHAnsi" w:hAnsiTheme="majorHAnsi" w:cstheme="majorHAnsi"/>
              </w:rPr>
              <w:t>os</w:t>
            </w:r>
            <w:proofErr w:type="spellEnd"/>
            <w:r w:rsidRPr="00593955">
              <w:rPr>
                <w:rFonts w:asciiTheme="majorHAnsi" w:hAnsiTheme="majorHAnsi" w:cstheme="majorHAnsi"/>
              </w:rPr>
              <w:t xml:space="preserve"> claims de </w:t>
            </w:r>
            <w:proofErr w:type="spellStart"/>
            <w:r w:rsidRPr="00593955">
              <w:rPr>
                <w:rFonts w:asciiTheme="majorHAnsi" w:hAnsiTheme="majorHAnsi" w:cstheme="majorHAnsi"/>
              </w:rPr>
              <w:t>saúde</w:t>
            </w:r>
            <w:proofErr w:type="spellEnd"/>
            <w:r w:rsidRPr="00593955">
              <w:rPr>
                <w:rFonts w:asciiTheme="majorHAnsi" w:hAnsiTheme="majorHAnsi" w:cstheme="majorHAnsi"/>
              </w:rPr>
              <w:t xml:space="preserve"> intestinal, mas </w:t>
            </w:r>
            <w:proofErr w:type="spellStart"/>
            <w:r w:rsidRPr="00593955">
              <w:rPr>
                <w:rFonts w:asciiTheme="majorHAnsi" w:hAnsiTheme="majorHAnsi" w:cstheme="majorHAnsi"/>
              </w:rPr>
              <w:t>parece</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não</w:t>
            </w:r>
            <w:proofErr w:type="spellEnd"/>
            <w:r w:rsidRPr="00593955">
              <w:rPr>
                <w:rFonts w:asciiTheme="majorHAnsi" w:hAnsiTheme="majorHAnsi" w:cstheme="majorHAnsi"/>
              </w:rPr>
              <w:t xml:space="preserve"> ser </w:t>
            </w:r>
            <w:proofErr w:type="spellStart"/>
            <w:r w:rsidRPr="00593955">
              <w:rPr>
                <w:rFonts w:asciiTheme="majorHAnsi" w:hAnsiTheme="majorHAnsi" w:cstheme="majorHAnsi"/>
              </w:rPr>
              <w:t>aceito</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em</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outras</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situações</w:t>
            </w:r>
            <w:proofErr w:type="spellEnd"/>
            <w:r w:rsidRPr="00593955">
              <w:rPr>
                <w:rFonts w:asciiTheme="majorHAnsi" w:hAnsiTheme="majorHAnsi" w:cstheme="majorHAnsi"/>
              </w:rPr>
              <w:t xml:space="preserve">. </w:t>
            </w:r>
          </w:p>
        </w:tc>
        <w:tc>
          <w:tcPr>
            <w:tcW w:w="3544" w:type="dxa"/>
          </w:tcPr>
          <w:p w14:paraId="3EB8D81E" w14:textId="77777777" w:rsidR="00330CB3" w:rsidRPr="00593955" w:rsidRDefault="00330CB3" w:rsidP="00B04C3C">
            <w:pPr>
              <w:jc w:val="both"/>
              <w:rPr>
                <w:rFonts w:asciiTheme="majorHAnsi" w:hAnsiTheme="majorHAnsi" w:cstheme="majorHAnsi"/>
              </w:rPr>
            </w:pPr>
            <w:proofErr w:type="spellStart"/>
            <w:r w:rsidRPr="00593955">
              <w:rPr>
                <w:rFonts w:asciiTheme="majorHAnsi" w:hAnsiTheme="majorHAnsi" w:cstheme="majorHAnsi"/>
              </w:rPr>
              <w:lastRenderedPageBreak/>
              <w:t>Ainda</w:t>
            </w:r>
            <w:proofErr w:type="spellEnd"/>
            <w:r w:rsidRPr="00593955">
              <w:rPr>
                <w:rFonts w:asciiTheme="majorHAnsi" w:hAnsiTheme="majorHAnsi" w:cstheme="majorHAnsi"/>
              </w:rPr>
              <w:t xml:space="preserve"> é </w:t>
            </w:r>
            <w:proofErr w:type="spellStart"/>
            <w:r w:rsidRPr="00593955">
              <w:rPr>
                <w:rFonts w:asciiTheme="majorHAnsi" w:hAnsiTheme="majorHAnsi" w:cstheme="majorHAnsi"/>
              </w:rPr>
              <w:t>importante</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ressaltar</w:t>
            </w:r>
            <w:proofErr w:type="spellEnd"/>
            <w:r w:rsidRPr="00593955">
              <w:rPr>
                <w:rFonts w:asciiTheme="majorHAnsi" w:hAnsiTheme="majorHAnsi" w:cstheme="majorHAnsi"/>
              </w:rPr>
              <w:t xml:space="preserve"> que a </w:t>
            </w:r>
            <w:proofErr w:type="spellStart"/>
            <w:r w:rsidRPr="00593955">
              <w:rPr>
                <w:rFonts w:asciiTheme="majorHAnsi" w:hAnsiTheme="majorHAnsi" w:cstheme="majorHAnsi"/>
              </w:rPr>
              <w:t>maioria</w:t>
            </w:r>
            <w:proofErr w:type="spellEnd"/>
            <w:r w:rsidRPr="00593955">
              <w:rPr>
                <w:rFonts w:asciiTheme="majorHAnsi" w:hAnsiTheme="majorHAnsi" w:cstheme="majorHAnsi"/>
              </w:rPr>
              <w:t xml:space="preserve"> dos claims para </w:t>
            </w:r>
            <w:proofErr w:type="spellStart"/>
            <w:r w:rsidRPr="00593955">
              <w:rPr>
                <w:rFonts w:asciiTheme="majorHAnsi" w:hAnsiTheme="majorHAnsi" w:cstheme="majorHAnsi"/>
              </w:rPr>
              <w:t>saúde</w:t>
            </w:r>
            <w:proofErr w:type="spellEnd"/>
            <w:r w:rsidRPr="00593955">
              <w:rPr>
                <w:rFonts w:asciiTheme="majorHAnsi" w:hAnsiTheme="majorHAnsi" w:cstheme="majorHAnsi"/>
              </w:rPr>
              <w:t xml:space="preserve"> intestinal </w:t>
            </w:r>
            <w:proofErr w:type="spellStart"/>
            <w:r w:rsidRPr="00593955">
              <w:rPr>
                <w:rFonts w:asciiTheme="majorHAnsi" w:hAnsiTheme="majorHAnsi" w:cstheme="majorHAnsi"/>
              </w:rPr>
              <w:t>apresentam</w:t>
            </w:r>
            <w:proofErr w:type="spellEnd"/>
            <w:r w:rsidRPr="00593955">
              <w:rPr>
                <w:rFonts w:asciiTheme="majorHAnsi" w:hAnsiTheme="majorHAnsi" w:cstheme="majorHAnsi"/>
              </w:rPr>
              <w:t xml:space="preserve"> a </w:t>
            </w:r>
            <w:proofErr w:type="spellStart"/>
            <w:r w:rsidRPr="00593955">
              <w:rPr>
                <w:rFonts w:asciiTheme="majorHAnsi" w:hAnsiTheme="majorHAnsi" w:cstheme="majorHAnsi"/>
              </w:rPr>
              <w:t>palavra</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pode</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sem</w:t>
            </w:r>
            <w:proofErr w:type="spellEnd"/>
            <w:r w:rsidRPr="00593955">
              <w:rPr>
                <w:rFonts w:asciiTheme="majorHAnsi" w:hAnsiTheme="majorHAnsi" w:cstheme="majorHAnsi"/>
              </w:rPr>
              <w:t xml:space="preserve"> a </w:t>
            </w:r>
            <w:proofErr w:type="spellStart"/>
            <w:r w:rsidRPr="00593955">
              <w:rPr>
                <w:rFonts w:asciiTheme="majorHAnsi" w:hAnsiTheme="majorHAnsi" w:cstheme="majorHAnsi"/>
              </w:rPr>
              <w:t>devida</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assertividade</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mesmo</w:t>
            </w:r>
            <w:proofErr w:type="spellEnd"/>
            <w:r w:rsidRPr="00593955">
              <w:rPr>
                <w:rFonts w:asciiTheme="majorHAnsi" w:hAnsiTheme="majorHAnsi" w:cstheme="majorHAnsi"/>
              </w:rPr>
              <w:t xml:space="preserve"> para </w:t>
            </w:r>
            <w:proofErr w:type="spellStart"/>
            <w:r w:rsidRPr="00593955">
              <w:rPr>
                <w:rFonts w:asciiTheme="majorHAnsi" w:hAnsiTheme="majorHAnsi" w:cstheme="majorHAnsi"/>
              </w:rPr>
              <w:t>os</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casos</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em</w:t>
            </w:r>
            <w:proofErr w:type="spellEnd"/>
            <w:r w:rsidRPr="00593955">
              <w:rPr>
                <w:rFonts w:asciiTheme="majorHAnsi" w:hAnsiTheme="majorHAnsi" w:cstheme="majorHAnsi"/>
              </w:rPr>
              <w:t xml:space="preserve"> que </w:t>
            </w:r>
            <w:proofErr w:type="gramStart"/>
            <w:r w:rsidRPr="00593955">
              <w:rPr>
                <w:rFonts w:asciiTheme="majorHAnsi" w:hAnsiTheme="majorHAnsi" w:cstheme="majorHAnsi"/>
              </w:rPr>
              <w:t>a</w:t>
            </w:r>
            <w:proofErr w:type="gramEnd"/>
            <w:r w:rsidRPr="00593955">
              <w:rPr>
                <w:rFonts w:asciiTheme="majorHAnsi" w:hAnsiTheme="majorHAnsi" w:cstheme="majorHAnsi"/>
              </w:rPr>
              <w:t xml:space="preserve"> </w:t>
            </w:r>
            <w:proofErr w:type="spellStart"/>
            <w:r w:rsidRPr="00593955">
              <w:rPr>
                <w:rFonts w:asciiTheme="majorHAnsi" w:hAnsiTheme="majorHAnsi" w:cstheme="majorHAnsi"/>
              </w:rPr>
              <w:t>evidência</w:t>
            </w:r>
            <w:proofErr w:type="spellEnd"/>
            <w:r w:rsidRPr="00593955">
              <w:rPr>
                <w:rFonts w:asciiTheme="majorHAnsi" w:hAnsiTheme="majorHAnsi" w:cstheme="majorHAnsi"/>
              </w:rPr>
              <w:t xml:space="preserve"> se </w:t>
            </w:r>
            <w:proofErr w:type="spellStart"/>
            <w:r w:rsidRPr="00593955">
              <w:rPr>
                <w:rFonts w:asciiTheme="majorHAnsi" w:hAnsiTheme="majorHAnsi" w:cstheme="majorHAnsi"/>
              </w:rPr>
              <w:t>mostrou</w:t>
            </w:r>
            <w:proofErr w:type="spellEnd"/>
            <w:r w:rsidRPr="00593955">
              <w:rPr>
                <w:rFonts w:asciiTheme="majorHAnsi" w:hAnsiTheme="majorHAnsi" w:cstheme="majorHAnsi"/>
              </w:rPr>
              <w:t xml:space="preserve"> </w:t>
            </w:r>
            <w:proofErr w:type="spellStart"/>
            <w:r w:rsidRPr="00593955">
              <w:rPr>
                <w:rFonts w:asciiTheme="majorHAnsi" w:hAnsiTheme="majorHAnsi" w:cstheme="majorHAnsi"/>
              </w:rPr>
              <w:t>consistente</w:t>
            </w:r>
            <w:proofErr w:type="spellEnd"/>
            <w:r w:rsidRPr="00593955">
              <w:rPr>
                <w:rFonts w:asciiTheme="majorHAnsi" w:hAnsiTheme="majorHAnsi" w:cstheme="majorHAnsi"/>
              </w:rPr>
              <w:t xml:space="preserve"> e </w:t>
            </w:r>
            <w:proofErr w:type="spellStart"/>
            <w:r w:rsidRPr="00593955">
              <w:rPr>
                <w:rFonts w:asciiTheme="majorHAnsi" w:hAnsiTheme="majorHAnsi" w:cstheme="majorHAnsi"/>
              </w:rPr>
              <w:t>significativa</w:t>
            </w:r>
            <w:proofErr w:type="spellEnd"/>
            <w:r w:rsidRPr="00593955">
              <w:rPr>
                <w:rFonts w:asciiTheme="majorHAnsi" w:hAnsiTheme="majorHAnsi" w:cstheme="majorHAnsi"/>
              </w:rPr>
              <w:t xml:space="preserve">. </w:t>
            </w:r>
          </w:p>
          <w:p w14:paraId="5447D755" w14:textId="77777777" w:rsidR="00330CB3" w:rsidRPr="000728CD" w:rsidRDefault="00330CB3" w:rsidP="00B04C3C">
            <w:pPr>
              <w:jc w:val="both"/>
              <w:rPr>
                <w:rFonts w:asciiTheme="majorHAnsi" w:hAnsiTheme="majorHAnsi" w:cstheme="majorHAnsi"/>
              </w:rPr>
            </w:pPr>
          </w:p>
        </w:tc>
      </w:tr>
    </w:tbl>
    <w:p w14:paraId="13369D8D" w14:textId="77777777" w:rsidR="007B3C98" w:rsidRDefault="007B3C98" w:rsidP="005B6E36">
      <w:pPr>
        <w:jc w:val="both"/>
        <w:rPr>
          <w:rFonts w:asciiTheme="majorHAnsi" w:hAnsiTheme="majorHAnsi" w:cstheme="majorHAnsi"/>
          <w:lang w:val="pt-BR"/>
        </w:rPr>
      </w:pPr>
    </w:p>
    <w:p w14:paraId="19B593F2" w14:textId="77777777" w:rsidR="007B3C98" w:rsidRDefault="007B3C98" w:rsidP="005B6E36">
      <w:pPr>
        <w:jc w:val="both"/>
        <w:rPr>
          <w:rFonts w:asciiTheme="majorHAnsi" w:hAnsiTheme="majorHAnsi" w:cstheme="majorHAnsi"/>
          <w:lang w:val="pt-BR"/>
        </w:rPr>
        <w:sectPr w:rsidR="007B3C98" w:rsidSect="0068566B">
          <w:headerReference w:type="default" r:id="rId10"/>
          <w:footerReference w:type="default" r:id="rId11"/>
          <w:pgSz w:w="15840" w:h="12240" w:orient="landscape"/>
          <w:pgMar w:top="1440" w:right="1440" w:bottom="1440" w:left="1440" w:header="720" w:footer="720" w:gutter="0"/>
          <w:cols w:space="720"/>
          <w:docGrid w:linePitch="360"/>
        </w:sectPr>
      </w:pPr>
    </w:p>
    <w:p w14:paraId="28667D39" w14:textId="77777777" w:rsidR="007B3C98" w:rsidRDefault="007B3C98" w:rsidP="005B6E36">
      <w:pPr>
        <w:jc w:val="both"/>
        <w:rPr>
          <w:rFonts w:asciiTheme="majorHAnsi" w:hAnsiTheme="majorHAnsi" w:cstheme="majorHAnsi"/>
          <w:lang w:val="pt-BR"/>
        </w:rPr>
      </w:pPr>
    </w:p>
    <w:p w14:paraId="2D6B539A" w14:textId="3146F155" w:rsidR="00425497" w:rsidRPr="009D6E1A" w:rsidRDefault="00474566" w:rsidP="005B6E36">
      <w:pPr>
        <w:jc w:val="both"/>
        <w:rPr>
          <w:rFonts w:asciiTheme="majorHAnsi" w:hAnsiTheme="majorHAnsi" w:cstheme="majorHAnsi"/>
          <w:i/>
          <w:lang w:val="pt-BR"/>
        </w:rPr>
      </w:pPr>
      <w:r>
        <w:rPr>
          <w:rFonts w:asciiTheme="majorHAnsi" w:hAnsiTheme="majorHAnsi" w:cstheme="majorHAnsi"/>
          <w:lang w:val="pt-BR"/>
        </w:rPr>
        <w:t>Ainda, importante lembrar que os</w:t>
      </w:r>
      <w:r w:rsidR="001977C7">
        <w:rPr>
          <w:rFonts w:asciiTheme="majorHAnsi" w:hAnsiTheme="majorHAnsi" w:cstheme="majorHAnsi"/>
          <w:lang w:val="pt-BR"/>
        </w:rPr>
        <w:t xml:space="preserve"> p</w:t>
      </w:r>
      <w:r w:rsidR="00425497" w:rsidRPr="009D6E1A">
        <w:rPr>
          <w:rFonts w:asciiTheme="majorHAnsi" w:hAnsiTheme="majorHAnsi" w:cstheme="majorHAnsi"/>
          <w:lang w:val="pt-BR"/>
        </w:rPr>
        <w:t>robióticos receberam uma tratativa especial, pois, segundo a ANVISA,</w:t>
      </w:r>
      <w:r w:rsidR="00425497" w:rsidRPr="009D6E1A">
        <w:rPr>
          <w:rFonts w:asciiTheme="majorHAnsi" w:hAnsiTheme="majorHAnsi" w:cstheme="majorHAnsi"/>
          <w:i/>
          <w:lang w:val="pt-BR"/>
        </w:rPr>
        <w:t xml:space="preserve"> </w:t>
      </w:r>
      <w:r w:rsidR="00425497" w:rsidRPr="009D6E1A">
        <w:rPr>
          <w:rFonts w:asciiTheme="majorHAnsi" w:hAnsiTheme="majorHAnsi" w:cstheme="majorHAnsi"/>
          <w:lang w:val="pt-BR"/>
        </w:rPr>
        <w:t xml:space="preserve">trata-se de </w:t>
      </w:r>
      <w:r w:rsidR="00D24F98" w:rsidRPr="009D6E1A">
        <w:rPr>
          <w:rFonts w:asciiTheme="majorHAnsi" w:hAnsiTheme="majorHAnsi" w:cstheme="majorHAnsi"/>
          <w:lang w:val="pt-BR"/>
        </w:rPr>
        <w:t xml:space="preserve">um </w:t>
      </w:r>
      <w:r w:rsidR="00425497" w:rsidRPr="009D6E1A">
        <w:rPr>
          <w:rFonts w:asciiTheme="majorHAnsi" w:hAnsiTheme="majorHAnsi" w:cstheme="majorHAnsi"/>
          <w:i/>
          <w:lang w:val="pt-BR"/>
        </w:rPr>
        <w:t>organismo vivo que, para produzir um efeito benéfico, interage com uma população diversificada que está presente no trato gastrointestinal do consumidor. A comprovação de sua segurança e efeito benéfico deve cumprir requisitos muito específicos e ser evidenciada por meio de estudos muito bem delineados. Além disso, a discussão sobre a regulação de probiótico é pauta atual das mais importantes autoridades regulatórias do mundo, todas empenhadas em estabelecer regras proporcionais que favoreçam a oferta de produtos seguros e eficazes, sem impor barreiras desnecessári</w:t>
      </w:r>
      <w:r w:rsidR="001977C7">
        <w:rPr>
          <w:rFonts w:asciiTheme="majorHAnsi" w:hAnsiTheme="majorHAnsi" w:cstheme="majorHAnsi"/>
          <w:i/>
          <w:lang w:val="pt-BR"/>
        </w:rPr>
        <w:t>a</w:t>
      </w:r>
      <w:r w:rsidR="00425497" w:rsidRPr="009D6E1A">
        <w:rPr>
          <w:rFonts w:asciiTheme="majorHAnsi" w:hAnsiTheme="majorHAnsi" w:cstheme="majorHAnsi"/>
          <w:i/>
          <w:lang w:val="pt-BR"/>
        </w:rPr>
        <w:t>s para o acesso dos probióticos ao mercado de consumo.</w:t>
      </w:r>
    </w:p>
    <w:p w14:paraId="0973184F" w14:textId="09A50BD2" w:rsidR="00425497" w:rsidRPr="009D6E1A" w:rsidRDefault="00425497" w:rsidP="005B6E36">
      <w:pPr>
        <w:jc w:val="both"/>
        <w:rPr>
          <w:rFonts w:asciiTheme="majorHAnsi" w:hAnsiTheme="majorHAnsi" w:cstheme="majorHAnsi"/>
          <w:lang w:val="pt-BR"/>
        </w:rPr>
      </w:pPr>
      <w:r w:rsidRPr="009D6E1A">
        <w:rPr>
          <w:rFonts w:asciiTheme="majorHAnsi" w:hAnsiTheme="majorHAnsi" w:cstheme="majorHAnsi"/>
          <w:lang w:val="pt-BR"/>
        </w:rPr>
        <w:t>Diversas reuniões e discussões bastante produtivas ocorreram entre ANVISA e setor regulado para a construção dos regulamentos</w:t>
      </w:r>
      <w:r w:rsidR="00B73E3D" w:rsidRPr="009D6E1A">
        <w:rPr>
          <w:rFonts w:asciiTheme="majorHAnsi" w:hAnsiTheme="majorHAnsi" w:cstheme="majorHAnsi"/>
          <w:lang w:val="pt-BR"/>
        </w:rPr>
        <w:t>. Um dos principais temas de debate foi a definição dos critérios a serem adotados para a comprovação de eficácia dos probióticos</w:t>
      </w:r>
      <w:r w:rsidR="001977C7">
        <w:rPr>
          <w:rFonts w:asciiTheme="majorHAnsi" w:hAnsiTheme="majorHAnsi" w:cstheme="majorHAnsi"/>
          <w:lang w:val="pt-BR"/>
        </w:rPr>
        <w:t>,</w:t>
      </w:r>
      <w:r w:rsidR="00B73E3D" w:rsidRPr="009D6E1A">
        <w:rPr>
          <w:rFonts w:asciiTheme="majorHAnsi" w:hAnsiTheme="majorHAnsi" w:cstheme="majorHAnsi"/>
          <w:lang w:val="pt-BR"/>
        </w:rPr>
        <w:t xml:space="preserve"> no contexto de </w:t>
      </w:r>
      <w:r w:rsidR="00D24F98" w:rsidRPr="009D6E1A">
        <w:rPr>
          <w:rFonts w:asciiTheme="majorHAnsi" w:hAnsiTheme="majorHAnsi" w:cstheme="majorHAnsi"/>
          <w:lang w:val="pt-BR"/>
        </w:rPr>
        <w:t xml:space="preserve">alimentos e </w:t>
      </w:r>
      <w:r w:rsidR="00B73E3D" w:rsidRPr="009D6E1A">
        <w:rPr>
          <w:rFonts w:asciiTheme="majorHAnsi" w:hAnsiTheme="majorHAnsi" w:cstheme="majorHAnsi"/>
          <w:lang w:val="pt-BR"/>
        </w:rPr>
        <w:t>suplementos alimentar</w:t>
      </w:r>
      <w:r w:rsidR="00D141DF" w:rsidRPr="009D6E1A">
        <w:rPr>
          <w:rFonts w:asciiTheme="majorHAnsi" w:hAnsiTheme="majorHAnsi" w:cstheme="majorHAnsi"/>
          <w:lang w:val="pt-BR"/>
        </w:rPr>
        <w:t>es</w:t>
      </w:r>
      <w:r w:rsidR="00B73E3D" w:rsidRPr="009D6E1A">
        <w:rPr>
          <w:rFonts w:asciiTheme="majorHAnsi" w:hAnsiTheme="majorHAnsi" w:cstheme="majorHAnsi"/>
          <w:lang w:val="pt-BR"/>
        </w:rPr>
        <w:t xml:space="preserve"> a ser</w:t>
      </w:r>
      <w:r w:rsidR="00D141DF" w:rsidRPr="009D6E1A">
        <w:rPr>
          <w:rFonts w:asciiTheme="majorHAnsi" w:hAnsiTheme="majorHAnsi" w:cstheme="majorHAnsi"/>
          <w:lang w:val="pt-BR"/>
        </w:rPr>
        <w:t>em</w:t>
      </w:r>
      <w:r w:rsidR="00B73E3D" w:rsidRPr="009D6E1A">
        <w:rPr>
          <w:rFonts w:asciiTheme="majorHAnsi" w:hAnsiTheme="majorHAnsi" w:cstheme="majorHAnsi"/>
          <w:lang w:val="pt-BR"/>
        </w:rPr>
        <w:t xml:space="preserve"> direcionado</w:t>
      </w:r>
      <w:r w:rsidR="001977C7">
        <w:rPr>
          <w:rFonts w:asciiTheme="majorHAnsi" w:hAnsiTheme="majorHAnsi" w:cstheme="majorHAnsi"/>
          <w:lang w:val="pt-BR"/>
        </w:rPr>
        <w:t>s</w:t>
      </w:r>
      <w:r w:rsidR="00B73E3D" w:rsidRPr="009D6E1A">
        <w:rPr>
          <w:rFonts w:asciiTheme="majorHAnsi" w:hAnsiTheme="majorHAnsi" w:cstheme="majorHAnsi"/>
          <w:lang w:val="pt-BR"/>
        </w:rPr>
        <w:t xml:space="preserve"> a pessoas saudáveis. Nessa ocasião, entendimentos e direcionamentos foram compartilhados pela ANVISA, dentre eles, os que listamos a seguir:</w:t>
      </w:r>
    </w:p>
    <w:p w14:paraId="02E39F56" w14:textId="77777777" w:rsidR="00B73E3D" w:rsidRPr="009D6E1A" w:rsidRDefault="00B73E3D" w:rsidP="00B73E3D">
      <w:pPr>
        <w:rPr>
          <w:rFonts w:asciiTheme="majorHAnsi" w:hAnsiTheme="majorHAnsi" w:cstheme="majorHAnsi"/>
          <w:lang w:val="pt-BR"/>
        </w:rPr>
      </w:pPr>
    </w:p>
    <w:p w14:paraId="71645D2A" w14:textId="77777777" w:rsidR="00B73E3D" w:rsidRPr="009D6E1A" w:rsidRDefault="00B73E3D" w:rsidP="00B73E3D">
      <w:pPr>
        <w:rPr>
          <w:rFonts w:asciiTheme="majorHAnsi" w:hAnsiTheme="majorHAnsi" w:cstheme="majorHAnsi"/>
          <w:b/>
          <w:bCs/>
          <w:lang w:val="pt-BR"/>
        </w:rPr>
      </w:pPr>
      <w:r w:rsidRPr="009D6E1A">
        <w:rPr>
          <w:rFonts w:asciiTheme="majorHAnsi" w:hAnsiTheme="majorHAnsi" w:cstheme="majorHAnsi"/>
          <w:b/>
          <w:bCs/>
          <w:lang w:val="pt-BR"/>
        </w:rPr>
        <w:t xml:space="preserve">Relatório de Análise das Contribuições da CP nº 459/2017 e Guia para Instrução Processual de Petição de Avaliação de Probióticos para Uso em Alimentos – </w:t>
      </w:r>
      <w:proofErr w:type="gramStart"/>
      <w:r w:rsidRPr="009D6E1A">
        <w:rPr>
          <w:rFonts w:asciiTheme="majorHAnsi" w:hAnsiTheme="majorHAnsi" w:cstheme="majorHAnsi"/>
          <w:b/>
          <w:bCs/>
          <w:lang w:val="pt-BR"/>
        </w:rPr>
        <w:t>Junho</w:t>
      </w:r>
      <w:proofErr w:type="gramEnd"/>
      <w:r w:rsidRPr="009D6E1A">
        <w:rPr>
          <w:rFonts w:asciiTheme="majorHAnsi" w:hAnsiTheme="majorHAnsi" w:cstheme="majorHAnsi"/>
          <w:b/>
          <w:bCs/>
          <w:lang w:val="pt-BR"/>
        </w:rPr>
        <w:t>/2018</w:t>
      </w:r>
    </w:p>
    <w:p w14:paraId="3256FF11" w14:textId="77777777" w:rsidR="00B73E3D" w:rsidRPr="009D6E1A" w:rsidRDefault="00B73E3D" w:rsidP="00B73E3D">
      <w:pPr>
        <w:rPr>
          <w:rFonts w:asciiTheme="majorHAnsi" w:hAnsiTheme="majorHAnsi" w:cstheme="majorHAnsi"/>
          <w:lang w:val="pt-BR"/>
        </w:rPr>
      </w:pPr>
    </w:p>
    <w:p w14:paraId="4E840292" w14:textId="77777777" w:rsidR="0077073C" w:rsidRPr="009D6E1A" w:rsidRDefault="00F84E98" w:rsidP="005B6E36">
      <w:pPr>
        <w:numPr>
          <w:ilvl w:val="0"/>
          <w:numId w:val="4"/>
        </w:numPr>
        <w:jc w:val="both"/>
        <w:rPr>
          <w:rFonts w:asciiTheme="majorHAnsi" w:hAnsiTheme="majorHAnsi" w:cstheme="majorHAnsi"/>
          <w:i/>
          <w:lang w:val="pt-BR"/>
        </w:rPr>
      </w:pPr>
      <w:r w:rsidRPr="009D6E1A">
        <w:rPr>
          <w:rFonts w:asciiTheme="majorHAnsi" w:hAnsiTheme="majorHAnsi" w:cstheme="majorHAnsi"/>
          <w:i/>
          <w:lang w:val="pt-BR"/>
        </w:rPr>
        <w:t>Para alcançar o objetivo de maior proporcionalidade, uma das abordagens adotadas foi o estabelecimento de regras distintas para comprovação da eficácia de alegações gerais e específicas, sendo que, para o primeiro caso, exigir-se-ia menor nível de evidência.</w:t>
      </w:r>
    </w:p>
    <w:p w14:paraId="39637B3F" w14:textId="77777777" w:rsidR="0077073C" w:rsidRPr="009D6E1A" w:rsidRDefault="00F84E98" w:rsidP="005B6E36">
      <w:pPr>
        <w:numPr>
          <w:ilvl w:val="0"/>
          <w:numId w:val="4"/>
        </w:numPr>
        <w:jc w:val="both"/>
        <w:rPr>
          <w:rFonts w:asciiTheme="majorHAnsi" w:hAnsiTheme="majorHAnsi" w:cstheme="majorHAnsi"/>
          <w:i/>
          <w:lang w:val="pt-BR"/>
        </w:rPr>
      </w:pPr>
      <w:r w:rsidRPr="009D6E1A">
        <w:rPr>
          <w:rFonts w:asciiTheme="majorHAnsi" w:hAnsiTheme="majorHAnsi" w:cstheme="majorHAnsi"/>
          <w:i/>
          <w:lang w:val="pt-BR"/>
        </w:rPr>
        <w:t xml:space="preserve">Nas contribuições, foi ponderado que, nem sempre, é possível demonstrar mecanismos de ação ou a plausibilidade biológica do efeito. Para esses casos, a alegação somente poderá ser aprovada caso haja evidências em humanos. </w:t>
      </w:r>
      <w:r w:rsidRPr="009D6E1A">
        <w:rPr>
          <w:rFonts w:asciiTheme="majorHAnsi" w:hAnsiTheme="majorHAnsi" w:cstheme="majorHAnsi"/>
          <w:b/>
          <w:bCs/>
          <w:i/>
          <w:u w:val="single"/>
          <w:lang w:val="pt-BR"/>
        </w:rPr>
        <w:t>Mas, na presença de evidências em humanos, a ausência de demonstração do mecanismo de ação e plausibilidade biológica não será um impeditivo para aprovação da eficácia. O texto será trabalhado para deixar mais claro esse entendimento.</w:t>
      </w:r>
    </w:p>
    <w:p w14:paraId="387C026B" w14:textId="77777777" w:rsidR="0077073C" w:rsidRPr="009D6E1A" w:rsidRDefault="00F84E98" w:rsidP="005B6E36">
      <w:pPr>
        <w:numPr>
          <w:ilvl w:val="0"/>
          <w:numId w:val="4"/>
        </w:numPr>
        <w:jc w:val="both"/>
        <w:rPr>
          <w:rFonts w:asciiTheme="majorHAnsi" w:hAnsiTheme="majorHAnsi" w:cstheme="majorHAnsi"/>
          <w:i/>
          <w:lang w:val="pt-BR"/>
        </w:rPr>
      </w:pPr>
      <w:r w:rsidRPr="009D6E1A">
        <w:rPr>
          <w:rFonts w:asciiTheme="majorHAnsi" w:hAnsiTheme="majorHAnsi" w:cstheme="majorHAnsi"/>
          <w:i/>
          <w:lang w:val="pt-BR"/>
        </w:rPr>
        <w:t xml:space="preserve">Para continuidade do trabalho de revisão do Guia, </w:t>
      </w:r>
      <w:r w:rsidRPr="009D6E1A">
        <w:rPr>
          <w:rFonts w:asciiTheme="majorHAnsi" w:hAnsiTheme="majorHAnsi" w:cstheme="majorHAnsi"/>
          <w:b/>
          <w:bCs/>
          <w:i/>
          <w:u w:val="single"/>
          <w:lang w:val="pt-BR"/>
        </w:rPr>
        <w:t>manter-se-á um processo dialogado</w:t>
      </w:r>
      <w:r w:rsidRPr="009D6E1A">
        <w:rPr>
          <w:rFonts w:asciiTheme="majorHAnsi" w:hAnsiTheme="majorHAnsi" w:cstheme="majorHAnsi"/>
          <w:i/>
          <w:lang w:val="pt-BR"/>
        </w:rPr>
        <w:t>, a fim de considerar as necessidades, expectativas e experiências daqueles diretamente envolvidos com o objeto. Um dos pontos mais relevantes dessa revisão será a definição de quais níveis de evidência seriam aceitos para aprovação de uma alegação geral e específica.</w:t>
      </w:r>
    </w:p>
    <w:p w14:paraId="0875973E" w14:textId="77777777" w:rsidR="004865AC" w:rsidRPr="009D6E1A" w:rsidRDefault="004865AC" w:rsidP="005B6E36">
      <w:pPr>
        <w:jc w:val="both"/>
        <w:rPr>
          <w:rFonts w:asciiTheme="majorHAnsi" w:hAnsiTheme="majorHAnsi" w:cstheme="majorHAnsi"/>
          <w:lang w:val="pt-BR"/>
        </w:rPr>
      </w:pPr>
    </w:p>
    <w:p w14:paraId="2237ED3B" w14:textId="77777777" w:rsidR="004865AC" w:rsidRPr="009D6E1A" w:rsidRDefault="004865AC" w:rsidP="005B6E36">
      <w:pPr>
        <w:jc w:val="both"/>
        <w:rPr>
          <w:rFonts w:asciiTheme="majorHAnsi" w:hAnsiTheme="majorHAnsi" w:cstheme="majorHAnsi"/>
          <w:b/>
          <w:bCs/>
          <w:lang w:val="pt-BR"/>
        </w:rPr>
      </w:pPr>
      <w:r w:rsidRPr="009D6E1A">
        <w:rPr>
          <w:rFonts w:asciiTheme="majorHAnsi" w:hAnsiTheme="majorHAnsi" w:cstheme="majorHAnsi"/>
          <w:b/>
          <w:bCs/>
          <w:lang w:val="pt-BR"/>
        </w:rPr>
        <w:t xml:space="preserve">Publicação da RDC 241/2018 - Dispõe sobre os requisitos para comprovação da segurança e dos benefícios à saúde dos probióticos para uso em alimentos – </w:t>
      </w:r>
      <w:proofErr w:type="gramStart"/>
      <w:r w:rsidRPr="009D6E1A">
        <w:rPr>
          <w:rFonts w:asciiTheme="majorHAnsi" w:hAnsiTheme="majorHAnsi" w:cstheme="majorHAnsi"/>
          <w:b/>
          <w:bCs/>
          <w:lang w:val="pt-BR"/>
        </w:rPr>
        <w:t>Julho</w:t>
      </w:r>
      <w:proofErr w:type="gramEnd"/>
      <w:r w:rsidRPr="009D6E1A">
        <w:rPr>
          <w:rFonts w:asciiTheme="majorHAnsi" w:hAnsiTheme="majorHAnsi" w:cstheme="majorHAnsi"/>
          <w:b/>
          <w:bCs/>
          <w:lang w:val="pt-BR"/>
        </w:rPr>
        <w:t>/2018</w:t>
      </w:r>
    </w:p>
    <w:p w14:paraId="5694C3C1" w14:textId="77777777" w:rsidR="0077073C" w:rsidRPr="009D6E1A" w:rsidRDefault="00F84E98" w:rsidP="005B6E36">
      <w:pPr>
        <w:numPr>
          <w:ilvl w:val="0"/>
          <w:numId w:val="5"/>
        </w:numPr>
        <w:jc w:val="both"/>
        <w:rPr>
          <w:rFonts w:asciiTheme="majorHAnsi" w:hAnsiTheme="majorHAnsi" w:cstheme="majorHAnsi"/>
          <w:i/>
          <w:lang w:val="pt-BR"/>
        </w:rPr>
      </w:pPr>
      <w:r w:rsidRPr="009D6E1A">
        <w:rPr>
          <w:rFonts w:asciiTheme="majorHAnsi" w:hAnsiTheme="majorHAnsi" w:cstheme="majorHAnsi"/>
          <w:i/>
          <w:lang w:val="pt-BR"/>
        </w:rPr>
        <w:t xml:space="preserve">Art. 13. O benefício alegado pode ter caráter geral ou específico, levando em consideração a totalidade e o nível das evidências disponíveis. </w:t>
      </w:r>
    </w:p>
    <w:p w14:paraId="24269C5B" w14:textId="77777777" w:rsidR="0077073C" w:rsidRPr="009D6E1A" w:rsidRDefault="00F84E98" w:rsidP="005B6E36">
      <w:pPr>
        <w:numPr>
          <w:ilvl w:val="0"/>
          <w:numId w:val="5"/>
        </w:numPr>
        <w:jc w:val="both"/>
        <w:rPr>
          <w:rFonts w:asciiTheme="majorHAnsi" w:hAnsiTheme="majorHAnsi" w:cstheme="majorHAnsi"/>
          <w:i/>
          <w:lang w:val="pt-BR"/>
        </w:rPr>
      </w:pPr>
      <w:r w:rsidRPr="009D6E1A">
        <w:rPr>
          <w:rFonts w:asciiTheme="majorHAnsi" w:hAnsiTheme="majorHAnsi" w:cstheme="majorHAnsi"/>
          <w:i/>
          <w:lang w:val="pt-BR"/>
        </w:rPr>
        <w:t xml:space="preserve">Parágrafo único. Em adição às evidências em humanos tratada no </w:t>
      </w:r>
      <w:r w:rsidRPr="009D6E1A">
        <w:rPr>
          <w:rFonts w:asciiTheme="majorHAnsi" w:hAnsiTheme="majorHAnsi" w:cstheme="majorHAnsi"/>
          <w:i/>
          <w:iCs/>
          <w:lang w:val="pt-BR"/>
        </w:rPr>
        <w:t>caput</w:t>
      </w:r>
      <w:r w:rsidRPr="009D6E1A">
        <w:rPr>
          <w:rFonts w:asciiTheme="majorHAnsi" w:hAnsiTheme="majorHAnsi" w:cstheme="majorHAnsi"/>
          <w:i/>
          <w:lang w:val="pt-BR"/>
        </w:rPr>
        <w:t xml:space="preserve">, </w:t>
      </w:r>
      <w:r w:rsidRPr="009D6E1A">
        <w:rPr>
          <w:rFonts w:asciiTheme="majorHAnsi" w:hAnsiTheme="majorHAnsi" w:cstheme="majorHAnsi"/>
          <w:i/>
          <w:u w:val="single"/>
          <w:lang w:val="pt-BR"/>
        </w:rPr>
        <w:t>podem</w:t>
      </w:r>
      <w:r w:rsidRPr="009D6E1A">
        <w:rPr>
          <w:rFonts w:asciiTheme="majorHAnsi" w:hAnsiTheme="majorHAnsi" w:cstheme="majorHAnsi"/>
          <w:i/>
          <w:lang w:val="pt-BR"/>
        </w:rPr>
        <w:t xml:space="preserve"> ser apresentados outros tipos de estudos e referências que ajudem a explicar a plausibilidade biológica do efeito alegado.</w:t>
      </w:r>
    </w:p>
    <w:p w14:paraId="78490F58" w14:textId="77777777" w:rsidR="004865AC" w:rsidRPr="009D6E1A" w:rsidRDefault="004865AC" w:rsidP="004865AC">
      <w:pPr>
        <w:rPr>
          <w:rFonts w:asciiTheme="majorHAnsi" w:hAnsiTheme="majorHAnsi" w:cstheme="majorHAnsi"/>
          <w:lang w:val="pt-BR"/>
        </w:rPr>
      </w:pPr>
      <w:r w:rsidRPr="009D6E1A">
        <w:rPr>
          <w:rFonts w:asciiTheme="majorHAnsi" w:hAnsiTheme="majorHAnsi" w:cstheme="majorHAnsi"/>
          <w:lang w:val="pt-BR"/>
        </w:rPr>
        <w:lastRenderedPageBreak/>
        <w:t xml:space="preserve">A partir da </w:t>
      </w:r>
      <w:r w:rsidR="00D24F98" w:rsidRPr="009D6E1A">
        <w:rPr>
          <w:rFonts w:asciiTheme="majorHAnsi" w:hAnsiTheme="majorHAnsi" w:cstheme="majorHAnsi"/>
          <w:lang w:val="pt-BR"/>
        </w:rPr>
        <w:t>entrada em vigor</w:t>
      </w:r>
      <w:r w:rsidRPr="009D6E1A">
        <w:rPr>
          <w:rFonts w:asciiTheme="majorHAnsi" w:hAnsiTheme="majorHAnsi" w:cstheme="majorHAnsi"/>
          <w:lang w:val="pt-BR"/>
        </w:rPr>
        <w:t xml:space="preserve"> da RDC </w:t>
      </w:r>
      <w:r w:rsidR="00CA70F4">
        <w:rPr>
          <w:rFonts w:asciiTheme="majorHAnsi" w:hAnsiTheme="majorHAnsi" w:cstheme="majorHAnsi"/>
          <w:lang w:val="pt-BR"/>
        </w:rPr>
        <w:t xml:space="preserve">nº </w:t>
      </w:r>
      <w:r w:rsidRPr="009D6E1A">
        <w:rPr>
          <w:rFonts w:asciiTheme="majorHAnsi" w:hAnsiTheme="majorHAnsi" w:cstheme="majorHAnsi"/>
          <w:lang w:val="pt-BR"/>
        </w:rPr>
        <w:t>241/</w:t>
      </w:r>
      <w:r w:rsidR="00CA70F4">
        <w:rPr>
          <w:rFonts w:asciiTheme="majorHAnsi" w:hAnsiTheme="majorHAnsi" w:cstheme="majorHAnsi"/>
          <w:lang w:val="pt-BR"/>
        </w:rPr>
        <w:t>20</w:t>
      </w:r>
      <w:r w:rsidRPr="009D6E1A">
        <w:rPr>
          <w:rFonts w:asciiTheme="majorHAnsi" w:hAnsiTheme="majorHAnsi" w:cstheme="majorHAnsi"/>
          <w:lang w:val="pt-BR"/>
        </w:rPr>
        <w:t xml:space="preserve">18, aprovações de cepas probióticas foram publicadas, sendo a grande maioria </w:t>
      </w:r>
      <w:r w:rsidR="00335FA4" w:rsidRPr="009D6E1A">
        <w:rPr>
          <w:rFonts w:asciiTheme="majorHAnsi" w:hAnsiTheme="majorHAnsi" w:cstheme="majorHAnsi"/>
          <w:lang w:val="pt-BR"/>
        </w:rPr>
        <w:t xml:space="preserve">com alegação geral de benefício à saúde gastrointestinal, </w:t>
      </w:r>
      <w:proofErr w:type="spellStart"/>
      <w:r w:rsidR="00335FA4" w:rsidRPr="009D6E1A">
        <w:rPr>
          <w:rFonts w:asciiTheme="majorHAnsi" w:hAnsiTheme="majorHAnsi" w:cstheme="majorHAnsi"/>
          <w:lang w:val="pt-BR"/>
        </w:rPr>
        <w:t>confome</w:t>
      </w:r>
      <w:proofErr w:type="spellEnd"/>
      <w:r w:rsidR="00335FA4" w:rsidRPr="009D6E1A">
        <w:rPr>
          <w:rFonts w:asciiTheme="majorHAnsi" w:hAnsiTheme="majorHAnsi" w:cstheme="majorHAnsi"/>
          <w:lang w:val="pt-BR"/>
        </w:rPr>
        <w:t xml:space="preserve"> evidenciado na publicação da primeira lista positiva de cepas aprovadas.</w:t>
      </w:r>
    </w:p>
    <w:p w14:paraId="25DE9D54" w14:textId="77777777" w:rsidR="00335FA4" w:rsidRPr="009D6E1A" w:rsidRDefault="00335FA4" w:rsidP="004865AC">
      <w:pPr>
        <w:rPr>
          <w:rFonts w:asciiTheme="majorHAnsi" w:hAnsiTheme="majorHAnsi" w:cstheme="majorHAnsi"/>
          <w:b/>
          <w:lang w:val="pt-BR"/>
        </w:rPr>
      </w:pPr>
      <w:r w:rsidRPr="009D6E1A">
        <w:rPr>
          <w:rFonts w:asciiTheme="majorHAnsi" w:hAnsiTheme="majorHAnsi" w:cstheme="majorHAnsi"/>
          <w:b/>
          <w:lang w:val="pt-BR"/>
        </w:rPr>
        <w:t xml:space="preserve">Publicação da IN </w:t>
      </w:r>
      <w:r w:rsidR="00CA70F4">
        <w:rPr>
          <w:rFonts w:asciiTheme="majorHAnsi" w:hAnsiTheme="majorHAnsi" w:cstheme="majorHAnsi"/>
          <w:b/>
          <w:lang w:val="pt-BR"/>
        </w:rPr>
        <w:t xml:space="preserve">nº </w:t>
      </w:r>
      <w:r w:rsidR="001F71A9" w:rsidRPr="009D6E1A">
        <w:rPr>
          <w:rFonts w:asciiTheme="majorHAnsi" w:hAnsiTheme="majorHAnsi" w:cstheme="majorHAnsi"/>
          <w:b/>
          <w:lang w:val="pt-BR"/>
        </w:rPr>
        <w:t>76 de 5 de novembro de 2020:</w:t>
      </w:r>
    </w:p>
    <w:p w14:paraId="68466AD1" w14:textId="77777777" w:rsidR="001F71A9" w:rsidRPr="009D6E1A" w:rsidRDefault="001F71A9" w:rsidP="004865AC">
      <w:pPr>
        <w:rPr>
          <w:rFonts w:asciiTheme="majorHAnsi" w:hAnsiTheme="majorHAnsi" w:cstheme="majorHAnsi"/>
          <w:lang w:val="pt-BR"/>
        </w:rPr>
      </w:pPr>
      <w:r w:rsidRPr="009D6E1A">
        <w:rPr>
          <w:rFonts w:asciiTheme="majorHAnsi" w:hAnsiTheme="majorHAnsi" w:cstheme="majorHAnsi"/>
          <w:noProof/>
          <w:lang w:val="pt-BR" w:eastAsia="pt-BR"/>
        </w:rPr>
        <w:drawing>
          <wp:inline distT="0" distB="0" distL="0" distR="0" wp14:anchorId="43D7137E" wp14:editId="2D13A7C9">
            <wp:extent cx="5943600" cy="62998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299835"/>
                    </a:xfrm>
                    <a:prstGeom prst="rect">
                      <a:avLst/>
                    </a:prstGeom>
                  </pic:spPr>
                </pic:pic>
              </a:graphicData>
            </a:graphic>
          </wp:inline>
        </w:drawing>
      </w:r>
    </w:p>
    <w:p w14:paraId="7D4AC588" w14:textId="77777777" w:rsidR="00D24F98" w:rsidRDefault="00D24F98" w:rsidP="001F71A9">
      <w:pPr>
        <w:rPr>
          <w:rFonts w:asciiTheme="majorHAnsi" w:hAnsiTheme="majorHAnsi" w:cstheme="majorHAnsi"/>
          <w:b/>
          <w:bCs/>
          <w:lang w:val="pt-BR"/>
        </w:rPr>
      </w:pPr>
    </w:p>
    <w:p w14:paraId="3D57F5D1" w14:textId="77777777" w:rsidR="007B3C98" w:rsidRDefault="007B3C98" w:rsidP="001F71A9">
      <w:pPr>
        <w:rPr>
          <w:rFonts w:asciiTheme="majorHAnsi" w:hAnsiTheme="majorHAnsi" w:cstheme="majorHAnsi"/>
          <w:b/>
          <w:bCs/>
          <w:lang w:val="pt-BR"/>
        </w:rPr>
        <w:sectPr w:rsidR="007B3C98" w:rsidSect="007B3C98">
          <w:pgSz w:w="12240" w:h="15840"/>
          <w:pgMar w:top="1440" w:right="1440" w:bottom="1440" w:left="1440" w:header="720" w:footer="720" w:gutter="0"/>
          <w:cols w:space="720"/>
          <w:docGrid w:linePitch="360"/>
        </w:sectPr>
      </w:pPr>
    </w:p>
    <w:p w14:paraId="419C10BC" w14:textId="77777777" w:rsidR="007B3C98" w:rsidRPr="009C6562" w:rsidRDefault="007B3C98" w:rsidP="001F71A9">
      <w:pPr>
        <w:rPr>
          <w:rFonts w:asciiTheme="majorHAnsi" w:hAnsiTheme="majorHAnsi" w:cstheme="majorHAnsi"/>
          <w:bCs/>
          <w:lang w:val="pt-BR"/>
        </w:rPr>
      </w:pPr>
    </w:p>
    <w:p w14:paraId="3888EB1E" w14:textId="11B508DB" w:rsidR="001F71A9" w:rsidRPr="009D6E1A" w:rsidRDefault="00AE634E" w:rsidP="001F71A9">
      <w:pPr>
        <w:rPr>
          <w:rFonts w:asciiTheme="majorHAnsi" w:hAnsiTheme="majorHAnsi" w:cstheme="majorHAnsi"/>
          <w:b/>
          <w:bCs/>
          <w:lang w:val="pt-BR"/>
        </w:rPr>
      </w:pPr>
      <w:r w:rsidRPr="009D6E1A">
        <w:rPr>
          <w:rFonts w:asciiTheme="majorHAnsi" w:hAnsiTheme="majorHAnsi" w:cstheme="majorHAnsi"/>
          <w:b/>
          <w:bCs/>
          <w:lang w:val="pt-BR"/>
        </w:rPr>
        <w:t>Guia para Instrução Processual de Petição de Avaliação de Probióticos para Uso em Alimento</w:t>
      </w:r>
      <w:r w:rsidR="00C77335">
        <w:rPr>
          <w:rFonts w:asciiTheme="majorHAnsi" w:hAnsiTheme="majorHAnsi" w:cstheme="majorHAnsi"/>
          <w:b/>
          <w:bCs/>
          <w:lang w:val="pt-BR"/>
        </w:rPr>
        <w:t>s</w:t>
      </w:r>
      <w:r w:rsidRPr="009D6E1A">
        <w:rPr>
          <w:rFonts w:asciiTheme="majorHAnsi" w:hAnsiTheme="majorHAnsi" w:cstheme="majorHAnsi"/>
          <w:b/>
          <w:bCs/>
          <w:lang w:val="pt-BR"/>
        </w:rPr>
        <w:t xml:space="preserve"> - </w:t>
      </w:r>
      <w:r w:rsidR="001F71A9" w:rsidRPr="009D6E1A">
        <w:rPr>
          <w:rFonts w:asciiTheme="majorHAnsi" w:hAnsiTheme="majorHAnsi" w:cstheme="majorHAnsi"/>
          <w:b/>
          <w:bCs/>
          <w:lang w:val="pt-BR"/>
        </w:rPr>
        <w:t>Guia nº 21/2021 – versão 2 – Vigente a partir de 06/05/2021</w:t>
      </w:r>
    </w:p>
    <w:p w14:paraId="77B0A959" w14:textId="77777777" w:rsidR="00D8131F" w:rsidRPr="009D6E1A" w:rsidRDefault="00D8131F" w:rsidP="001F71A9">
      <w:pPr>
        <w:rPr>
          <w:rFonts w:asciiTheme="majorHAnsi" w:hAnsiTheme="majorHAnsi" w:cstheme="majorHAnsi"/>
          <w:bCs/>
          <w:lang w:val="pt-BR"/>
        </w:rPr>
      </w:pPr>
      <w:r w:rsidRPr="009D6E1A">
        <w:rPr>
          <w:rFonts w:asciiTheme="majorHAnsi" w:hAnsiTheme="majorHAnsi" w:cstheme="majorHAnsi"/>
          <w:bCs/>
          <w:lang w:val="pt-BR"/>
        </w:rPr>
        <w:t xml:space="preserve">Apresentamos a seguir um comparativo entre as 2 versões do guia para alguns tópicos específicos </w:t>
      </w:r>
      <w:r w:rsidR="00C74A0B" w:rsidRPr="009D6E1A">
        <w:rPr>
          <w:rFonts w:asciiTheme="majorHAnsi" w:hAnsiTheme="majorHAnsi" w:cstheme="majorHAnsi"/>
          <w:bCs/>
          <w:lang w:val="pt-BR"/>
        </w:rPr>
        <w:t xml:space="preserve">relacionados a comprovação de eficácia </w:t>
      </w:r>
      <w:r w:rsidRPr="009D6E1A">
        <w:rPr>
          <w:rFonts w:asciiTheme="majorHAnsi" w:hAnsiTheme="majorHAnsi" w:cstheme="majorHAnsi"/>
          <w:bCs/>
          <w:lang w:val="pt-BR"/>
        </w:rPr>
        <w:t>que merecem atenção:</w:t>
      </w:r>
    </w:p>
    <w:tbl>
      <w:tblPr>
        <w:tblStyle w:val="Tabelacomgrade"/>
        <w:tblW w:w="13745" w:type="dxa"/>
        <w:tblLook w:val="04A0" w:firstRow="1" w:lastRow="0" w:firstColumn="1" w:lastColumn="0" w:noHBand="0" w:noVBand="1"/>
      </w:tblPr>
      <w:tblGrid>
        <w:gridCol w:w="4248"/>
        <w:gridCol w:w="4819"/>
        <w:gridCol w:w="4678"/>
      </w:tblGrid>
      <w:tr w:rsidR="00AE634E" w:rsidRPr="009D6E1A" w14:paraId="6392A7EE" w14:textId="77777777" w:rsidTr="007B3C98">
        <w:trPr>
          <w:tblHeader/>
        </w:trPr>
        <w:tc>
          <w:tcPr>
            <w:tcW w:w="4248" w:type="dxa"/>
            <w:shd w:val="clear" w:color="auto" w:fill="E2EFD9" w:themeFill="accent6" w:themeFillTint="33"/>
          </w:tcPr>
          <w:p w14:paraId="4F5DB829" w14:textId="77777777" w:rsidR="00AE634E" w:rsidRPr="009D6E1A" w:rsidRDefault="00AE634E" w:rsidP="00AE634E">
            <w:pPr>
              <w:pStyle w:val="Default"/>
              <w:rPr>
                <w:rFonts w:asciiTheme="majorHAnsi" w:hAnsiTheme="majorHAnsi" w:cstheme="majorHAnsi"/>
                <w:b/>
                <w:sz w:val="18"/>
                <w:szCs w:val="18"/>
              </w:rPr>
            </w:pPr>
            <w:proofErr w:type="spellStart"/>
            <w:r w:rsidRPr="009D6E1A">
              <w:rPr>
                <w:rFonts w:asciiTheme="majorHAnsi" w:hAnsiTheme="majorHAnsi" w:cstheme="majorHAnsi"/>
                <w:b/>
                <w:sz w:val="18"/>
                <w:szCs w:val="18"/>
              </w:rPr>
              <w:t>Guia</w:t>
            </w:r>
            <w:proofErr w:type="spellEnd"/>
            <w:r w:rsidRPr="009D6E1A">
              <w:rPr>
                <w:rFonts w:asciiTheme="majorHAnsi" w:hAnsiTheme="majorHAnsi" w:cstheme="majorHAnsi"/>
                <w:b/>
                <w:sz w:val="18"/>
                <w:szCs w:val="18"/>
              </w:rPr>
              <w:t xml:space="preserve"> 21/2019 – </w:t>
            </w:r>
            <w:proofErr w:type="spellStart"/>
            <w:r w:rsidRPr="009D6E1A">
              <w:rPr>
                <w:rFonts w:asciiTheme="majorHAnsi" w:hAnsiTheme="majorHAnsi" w:cstheme="majorHAnsi"/>
                <w:b/>
                <w:sz w:val="18"/>
                <w:szCs w:val="18"/>
              </w:rPr>
              <w:t>versão</w:t>
            </w:r>
            <w:proofErr w:type="spellEnd"/>
            <w:r w:rsidRPr="009D6E1A">
              <w:rPr>
                <w:rFonts w:asciiTheme="majorHAnsi" w:hAnsiTheme="majorHAnsi" w:cstheme="majorHAnsi"/>
                <w:b/>
                <w:sz w:val="18"/>
                <w:szCs w:val="18"/>
              </w:rPr>
              <w:t xml:space="preserve"> 1 </w:t>
            </w:r>
          </w:p>
        </w:tc>
        <w:tc>
          <w:tcPr>
            <w:tcW w:w="4819" w:type="dxa"/>
            <w:shd w:val="clear" w:color="auto" w:fill="E2EFD9" w:themeFill="accent6" w:themeFillTint="33"/>
          </w:tcPr>
          <w:p w14:paraId="596EEE69" w14:textId="77777777" w:rsidR="00AE634E" w:rsidRPr="009D6E1A" w:rsidRDefault="00AE634E" w:rsidP="00AE634E">
            <w:pPr>
              <w:pStyle w:val="Default"/>
              <w:jc w:val="center"/>
              <w:rPr>
                <w:rFonts w:asciiTheme="majorHAnsi" w:hAnsiTheme="majorHAnsi" w:cstheme="majorHAnsi"/>
                <w:b/>
                <w:sz w:val="18"/>
                <w:szCs w:val="18"/>
              </w:rPr>
            </w:pPr>
            <w:proofErr w:type="spellStart"/>
            <w:r w:rsidRPr="009D6E1A">
              <w:rPr>
                <w:rFonts w:asciiTheme="majorHAnsi" w:hAnsiTheme="majorHAnsi" w:cstheme="majorHAnsi"/>
                <w:b/>
                <w:sz w:val="18"/>
                <w:szCs w:val="18"/>
              </w:rPr>
              <w:t>Guia</w:t>
            </w:r>
            <w:proofErr w:type="spellEnd"/>
            <w:r w:rsidRPr="009D6E1A">
              <w:rPr>
                <w:rFonts w:asciiTheme="majorHAnsi" w:hAnsiTheme="majorHAnsi" w:cstheme="majorHAnsi"/>
                <w:b/>
                <w:sz w:val="18"/>
                <w:szCs w:val="18"/>
              </w:rPr>
              <w:t xml:space="preserve"> 21/2021 – </w:t>
            </w:r>
            <w:proofErr w:type="spellStart"/>
            <w:r w:rsidRPr="009D6E1A">
              <w:rPr>
                <w:rFonts w:asciiTheme="majorHAnsi" w:hAnsiTheme="majorHAnsi" w:cstheme="majorHAnsi"/>
                <w:b/>
                <w:sz w:val="18"/>
                <w:szCs w:val="18"/>
              </w:rPr>
              <w:t>Versão</w:t>
            </w:r>
            <w:proofErr w:type="spellEnd"/>
            <w:r w:rsidRPr="009D6E1A">
              <w:rPr>
                <w:rFonts w:asciiTheme="majorHAnsi" w:hAnsiTheme="majorHAnsi" w:cstheme="majorHAnsi"/>
                <w:b/>
                <w:sz w:val="18"/>
                <w:szCs w:val="18"/>
              </w:rPr>
              <w:t xml:space="preserve"> 2 </w:t>
            </w:r>
          </w:p>
        </w:tc>
        <w:tc>
          <w:tcPr>
            <w:tcW w:w="4678" w:type="dxa"/>
            <w:shd w:val="clear" w:color="auto" w:fill="E2EFD9" w:themeFill="accent6" w:themeFillTint="33"/>
          </w:tcPr>
          <w:p w14:paraId="0FBD131B" w14:textId="77777777" w:rsidR="00AE634E" w:rsidRPr="009D6E1A" w:rsidRDefault="00AE634E" w:rsidP="00AE634E">
            <w:pPr>
              <w:pStyle w:val="Default"/>
              <w:jc w:val="center"/>
              <w:rPr>
                <w:rFonts w:asciiTheme="majorHAnsi" w:hAnsiTheme="majorHAnsi" w:cstheme="majorHAnsi"/>
                <w:b/>
                <w:sz w:val="18"/>
                <w:szCs w:val="18"/>
              </w:rPr>
            </w:pPr>
            <w:proofErr w:type="spellStart"/>
            <w:r w:rsidRPr="009D6E1A">
              <w:rPr>
                <w:rFonts w:asciiTheme="majorHAnsi" w:hAnsiTheme="majorHAnsi" w:cstheme="majorHAnsi"/>
                <w:b/>
                <w:sz w:val="18"/>
                <w:szCs w:val="18"/>
              </w:rPr>
              <w:t>Comentários</w:t>
            </w:r>
            <w:proofErr w:type="spellEnd"/>
            <w:r w:rsidRPr="009D6E1A">
              <w:rPr>
                <w:rFonts w:asciiTheme="majorHAnsi" w:hAnsiTheme="majorHAnsi" w:cstheme="majorHAnsi"/>
                <w:b/>
                <w:sz w:val="18"/>
                <w:szCs w:val="18"/>
              </w:rPr>
              <w:t xml:space="preserve"> </w:t>
            </w:r>
          </w:p>
        </w:tc>
      </w:tr>
      <w:tr w:rsidR="00AE634E" w:rsidRPr="00FD32F5" w14:paraId="110F30B5" w14:textId="77777777" w:rsidTr="007B3C98">
        <w:tc>
          <w:tcPr>
            <w:tcW w:w="4248" w:type="dxa"/>
          </w:tcPr>
          <w:p w14:paraId="0C414D5A" w14:textId="6B4ACEE1" w:rsidR="00AE634E" w:rsidRPr="009D6E1A" w:rsidRDefault="00AE634E" w:rsidP="009C6562">
            <w:pPr>
              <w:pStyle w:val="Default"/>
              <w:jc w:val="both"/>
              <w:rPr>
                <w:rFonts w:asciiTheme="majorHAnsi" w:hAnsiTheme="majorHAnsi" w:cstheme="majorHAnsi"/>
                <w:sz w:val="18"/>
                <w:szCs w:val="18"/>
                <w:lang w:val="pt-BR"/>
              </w:rPr>
            </w:pPr>
            <w:r w:rsidRPr="009D6E1A">
              <w:rPr>
                <w:rFonts w:asciiTheme="majorHAnsi" w:hAnsiTheme="majorHAnsi" w:cstheme="majorHAnsi"/>
                <w:i/>
                <w:iCs/>
                <w:sz w:val="18"/>
                <w:szCs w:val="18"/>
                <w:lang w:val="pt-BR"/>
              </w:rPr>
              <w:t>5. COMPROVAÇÃO DO BENEFÍCIO</w:t>
            </w:r>
          </w:p>
          <w:p w14:paraId="40411AC9" w14:textId="2FEF88C6" w:rsidR="00AE634E" w:rsidRPr="009D6E1A" w:rsidRDefault="00AE634E" w:rsidP="009C6562">
            <w:pPr>
              <w:pStyle w:val="Default"/>
              <w:jc w:val="both"/>
              <w:rPr>
                <w:rFonts w:asciiTheme="majorHAnsi" w:hAnsiTheme="majorHAnsi" w:cstheme="majorHAnsi"/>
                <w:sz w:val="18"/>
                <w:szCs w:val="18"/>
                <w:lang w:val="pt-BR"/>
              </w:rPr>
            </w:pPr>
            <w:r w:rsidRPr="009D6E1A">
              <w:rPr>
                <w:rFonts w:asciiTheme="majorHAnsi" w:hAnsiTheme="majorHAnsi" w:cstheme="majorHAnsi"/>
                <w:i/>
                <w:iCs/>
                <w:sz w:val="18"/>
                <w:szCs w:val="18"/>
                <w:lang w:val="pt-BR"/>
              </w:rPr>
              <w:t>5.1. Alegações de propriedade funcional ou saúde</w:t>
            </w:r>
          </w:p>
          <w:p w14:paraId="1CAD677D" w14:textId="135ED14D" w:rsidR="00AE634E" w:rsidRPr="009D6E1A" w:rsidRDefault="00AE634E" w:rsidP="009C6562">
            <w:pPr>
              <w:pStyle w:val="Default"/>
              <w:jc w:val="both"/>
              <w:rPr>
                <w:rFonts w:asciiTheme="majorHAnsi" w:hAnsiTheme="majorHAnsi" w:cstheme="majorHAnsi"/>
                <w:sz w:val="18"/>
                <w:szCs w:val="18"/>
                <w:lang w:val="pt-BR"/>
              </w:rPr>
            </w:pPr>
            <w:r w:rsidRPr="009D6E1A">
              <w:rPr>
                <w:rFonts w:asciiTheme="majorHAnsi" w:hAnsiTheme="majorHAnsi" w:cstheme="majorHAnsi"/>
                <w:i/>
                <w:iCs/>
                <w:sz w:val="18"/>
                <w:szCs w:val="18"/>
                <w:lang w:val="pt-BR"/>
              </w:rPr>
              <w:t>“O efeito benéfico de um probiótico deve necessariamente ser traduzido por uma alegação de propriedade funcional ou de saúde, relacionada ao benefício comprovado para a linhagem.</w:t>
            </w:r>
          </w:p>
          <w:p w14:paraId="4367F16A" w14:textId="37902162" w:rsidR="00AE634E" w:rsidRPr="009D6E1A" w:rsidRDefault="00AE634E" w:rsidP="009C6562">
            <w:pPr>
              <w:jc w:val="both"/>
              <w:rPr>
                <w:rFonts w:asciiTheme="majorHAnsi" w:hAnsiTheme="majorHAnsi" w:cstheme="majorHAnsi"/>
                <w:sz w:val="18"/>
                <w:szCs w:val="18"/>
                <w:lang w:val="pt-BR"/>
              </w:rPr>
            </w:pPr>
            <w:r w:rsidRPr="009D6E1A">
              <w:rPr>
                <w:rFonts w:asciiTheme="majorHAnsi" w:hAnsiTheme="majorHAnsi" w:cstheme="majorHAnsi"/>
                <w:i/>
                <w:iCs/>
                <w:sz w:val="18"/>
                <w:szCs w:val="18"/>
                <w:lang w:val="pt-BR"/>
              </w:rPr>
              <w:t>Em princípio, uma alegação de propriedade funcional pode ter caráter geral ou específico”</w:t>
            </w:r>
          </w:p>
        </w:tc>
        <w:tc>
          <w:tcPr>
            <w:tcW w:w="4819" w:type="dxa"/>
          </w:tcPr>
          <w:p w14:paraId="05A54288" w14:textId="2F5D7F19" w:rsidR="00AE634E" w:rsidRPr="009D6E1A" w:rsidRDefault="00AE634E" w:rsidP="009C6562">
            <w:pPr>
              <w:pStyle w:val="Default"/>
              <w:jc w:val="both"/>
              <w:rPr>
                <w:rFonts w:asciiTheme="majorHAnsi" w:hAnsiTheme="majorHAnsi" w:cstheme="majorHAnsi"/>
                <w:sz w:val="18"/>
                <w:szCs w:val="18"/>
                <w:lang w:val="pt-BR"/>
              </w:rPr>
            </w:pPr>
            <w:r w:rsidRPr="009D6E1A">
              <w:rPr>
                <w:rFonts w:asciiTheme="majorHAnsi" w:hAnsiTheme="majorHAnsi" w:cstheme="majorHAnsi"/>
                <w:sz w:val="18"/>
                <w:szCs w:val="18"/>
                <w:lang w:val="pt-BR"/>
              </w:rPr>
              <w:t xml:space="preserve">Inclusão textual no item </w:t>
            </w:r>
            <w:r w:rsidRPr="009D6E1A">
              <w:rPr>
                <w:rFonts w:asciiTheme="majorHAnsi" w:hAnsiTheme="majorHAnsi" w:cstheme="majorHAnsi"/>
                <w:i/>
                <w:iCs/>
                <w:sz w:val="18"/>
                <w:szCs w:val="18"/>
                <w:lang w:val="pt-BR"/>
              </w:rPr>
              <w:t>6. COMPROVAÇÃO DO BENEFÍCIO</w:t>
            </w:r>
          </w:p>
          <w:p w14:paraId="2FF618C6" w14:textId="30E1BB66" w:rsidR="00AE634E" w:rsidRPr="009D6E1A" w:rsidRDefault="00AE634E" w:rsidP="009C6562">
            <w:pPr>
              <w:pStyle w:val="Default"/>
              <w:jc w:val="both"/>
              <w:rPr>
                <w:rFonts w:asciiTheme="majorHAnsi" w:hAnsiTheme="majorHAnsi" w:cstheme="majorHAnsi"/>
                <w:sz w:val="18"/>
                <w:szCs w:val="18"/>
                <w:lang w:val="pt-BR"/>
              </w:rPr>
            </w:pPr>
            <w:r w:rsidRPr="009D6E1A">
              <w:rPr>
                <w:rFonts w:asciiTheme="majorHAnsi" w:hAnsiTheme="majorHAnsi" w:cstheme="majorHAnsi"/>
                <w:i/>
                <w:iCs/>
                <w:color w:val="001F5F"/>
                <w:sz w:val="18"/>
                <w:szCs w:val="18"/>
                <w:lang w:val="pt-BR"/>
              </w:rPr>
              <w:t>“6.1. Alegações de propriedade funcional ou saúde</w:t>
            </w:r>
          </w:p>
          <w:p w14:paraId="0F2134B5" w14:textId="5EDEFF4F" w:rsidR="00AE634E" w:rsidRPr="009D6E1A" w:rsidRDefault="00AE634E" w:rsidP="009C6562">
            <w:pPr>
              <w:pStyle w:val="Default"/>
              <w:jc w:val="both"/>
              <w:rPr>
                <w:rFonts w:asciiTheme="majorHAnsi" w:hAnsiTheme="majorHAnsi" w:cstheme="majorHAnsi"/>
                <w:sz w:val="18"/>
                <w:szCs w:val="18"/>
                <w:lang w:val="pt-BR"/>
              </w:rPr>
            </w:pPr>
            <w:r w:rsidRPr="009D6E1A">
              <w:rPr>
                <w:rFonts w:asciiTheme="majorHAnsi" w:hAnsiTheme="majorHAnsi" w:cstheme="majorHAnsi"/>
                <w:i/>
                <w:iCs/>
                <w:color w:val="001F5F"/>
                <w:sz w:val="18"/>
                <w:szCs w:val="18"/>
                <w:lang w:val="pt-BR"/>
              </w:rPr>
              <w:t>O efeito benéfico de um probiótico deve necessariamente ser traduzido por uma alegação de propriedade funcional ou de saúde, relacionada ao benefício comprovado para a linhagem. A requerente deve propor a redação da alegação (em língua portuguesa), bem como as condições específicas de uso do probiótico (grupo alvo, quantidade a ser consumida em UFC/dia para obter o efeito desejado, restrições de uso e advertências).</w:t>
            </w:r>
          </w:p>
          <w:p w14:paraId="07EFAFE4" w14:textId="77777777" w:rsidR="00AE634E" w:rsidRPr="009D6E1A" w:rsidRDefault="00AE634E" w:rsidP="009C6562">
            <w:pPr>
              <w:jc w:val="both"/>
              <w:rPr>
                <w:rFonts w:asciiTheme="majorHAnsi" w:hAnsiTheme="majorHAnsi" w:cstheme="majorHAnsi"/>
                <w:sz w:val="18"/>
                <w:szCs w:val="18"/>
                <w:lang w:val="pt-BR"/>
              </w:rPr>
            </w:pPr>
            <w:r w:rsidRPr="009D6E1A">
              <w:rPr>
                <w:rFonts w:asciiTheme="majorHAnsi" w:hAnsiTheme="majorHAnsi" w:cstheme="majorHAnsi"/>
                <w:i/>
                <w:iCs/>
                <w:color w:val="001F5F"/>
                <w:sz w:val="18"/>
                <w:szCs w:val="18"/>
                <w:lang w:val="pt-BR"/>
              </w:rPr>
              <w:t xml:space="preserve">Uma alegação de propriedade funcional é aquela relativa ao papel metabólico ou fisiológico que o nutriente ou não nutriente tem no crescimento, desenvolvimento, manutenção e outras funções normais do organismo humano. </w:t>
            </w:r>
            <w:r w:rsidR="00D8131F" w:rsidRPr="009D6E1A">
              <w:rPr>
                <w:rFonts w:asciiTheme="majorHAnsi" w:hAnsiTheme="majorHAnsi" w:cstheme="majorHAnsi"/>
                <w:i/>
                <w:iCs/>
                <w:color w:val="001F5F"/>
                <w:sz w:val="18"/>
                <w:szCs w:val="18"/>
                <w:lang w:val="pt-BR"/>
              </w:rPr>
              <w:t>Em princípio, uma alegação de propriedade funcional pode ter caráter geral ou específico”.</w:t>
            </w:r>
          </w:p>
        </w:tc>
        <w:tc>
          <w:tcPr>
            <w:tcW w:w="4678" w:type="dxa"/>
          </w:tcPr>
          <w:p w14:paraId="113B70C8" w14:textId="2BF56FF0" w:rsidR="00AE634E" w:rsidRPr="009D6E1A" w:rsidRDefault="00AE634E" w:rsidP="009C6562">
            <w:pPr>
              <w:pStyle w:val="Default"/>
              <w:jc w:val="both"/>
              <w:rPr>
                <w:rFonts w:asciiTheme="majorHAnsi" w:hAnsiTheme="majorHAnsi" w:cstheme="majorHAnsi"/>
                <w:sz w:val="18"/>
                <w:szCs w:val="18"/>
                <w:lang w:val="pt-BR"/>
              </w:rPr>
            </w:pPr>
            <w:r w:rsidRPr="009D6E1A">
              <w:rPr>
                <w:rFonts w:asciiTheme="majorHAnsi" w:hAnsiTheme="majorHAnsi" w:cstheme="majorHAnsi"/>
                <w:sz w:val="18"/>
                <w:szCs w:val="18"/>
                <w:lang w:val="pt-BR"/>
              </w:rPr>
              <w:t>Na seção de comprovação do benefício de probióticos foram incluídos e alterados diversos textos, a fim de tornar mais claros os requisitos e a metodologia utilizada pela Agência para verificação das alegações que serão submetidas.</w:t>
            </w:r>
          </w:p>
          <w:p w14:paraId="30626FEA" w14:textId="01D415CB" w:rsidR="00AE634E" w:rsidRPr="009D6E1A" w:rsidRDefault="00AE634E" w:rsidP="009C6562">
            <w:pPr>
              <w:pStyle w:val="Default"/>
              <w:jc w:val="both"/>
              <w:rPr>
                <w:rFonts w:asciiTheme="majorHAnsi" w:hAnsiTheme="majorHAnsi" w:cstheme="majorHAnsi"/>
                <w:sz w:val="18"/>
                <w:szCs w:val="18"/>
                <w:lang w:val="pt-BR"/>
              </w:rPr>
            </w:pPr>
            <w:r w:rsidRPr="009D6E1A">
              <w:rPr>
                <w:rFonts w:asciiTheme="majorHAnsi" w:hAnsiTheme="majorHAnsi" w:cstheme="majorHAnsi"/>
                <w:sz w:val="18"/>
                <w:szCs w:val="18"/>
                <w:lang w:val="pt-BR"/>
              </w:rPr>
              <w:t>As alterações trazem o racional que deve ser considerado para escolha dos textos destas alegações.</w:t>
            </w:r>
          </w:p>
          <w:p w14:paraId="4B6C33E2" w14:textId="77777777" w:rsidR="00AE634E" w:rsidRPr="009D6E1A" w:rsidRDefault="00AE634E" w:rsidP="009C6562">
            <w:pPr>
              <w:jc w:val="both"/>
              <w:rPr>
                <w:rFonts w:asciiTheme="majorHAnsi" w:hAnsiTheme="majorHAnsi" w:cstheme="majorHAnsi"/>
                <w:sz w:val="18"/>
                <w:szCs w:val="18"/>
                <w:lang w:val="pt-BR"/>
              </w:rPr>
            </w:pPr>
            <w:r w:rsidRPr="009D6E1A">
              <w:rPr>
                <w:rFonts w:asciiTheme="majorHAnsi" w:hAnsiTheme="majorHAnsi" w:cstheme="majorHAnsi"/>
                <w:sz w:val="18"/>
                <w:szCs w:val="18"/>
                <w:lang w:val="pt-BR"/>
              </w:rPr>
              <w:t>Se por um lado os dados apresentados trazem maior clareza do que é esperado por parte da ANVISA, por outro delimitam os critérios usados para comprovação de benefício, o que pode implicar em aumento do rigor em comparação ao adotado nas aprovações anteriores à atualização do Guia.</w:t>
            </w:r>
          </w:p>
        </w:tc>
      </w:tr>
      <w:tr w:rsidR="00AE634E" w:rsidRPr="00FD32F5" w14:paraId="629ECF84" w14:textId="77777777" w:rsidTr="007B3C98">
        <w:tc>
          <w:tcPr>
            <w:tcW w:w="4248" w:type="dxa"/>
          </w:tcPr>
          <w:p w14:paraId="0ECC4DCC" w14:textId="77777777" w:rsidR="00D8131F" w:rsidRPr="009D6E1A" w:rsidRDefault="00D8131F" w:rsidP="009C6562">
            <w:pPr>
              <w:pStyle w:val="Default"/>
              <w:jc w:val="both"/>
              <w:rPr>
                <w:rFonts w:asciiTheme="majorHAnsi" w:hAnsiTheme="majorHAnsi" w:cstheme="majorHAnsi"/>
                <w:sz w:val="18"/>
                <w:szCs w:val="18"/>
                <w:lang w:val="pt-BR"/>
              </w:rPr>
            </w:pPr>
            <w:r w:rsidRPr="009D6E1A">
              <w:rPr>
                <w:rFonts w:asciiTheme="majorHAnsi" w:hAnsiTheme="majorHAnsi" w:cstheme="majorHAnsi"/>
                <w:i/>
                <w:iCs/>
                <w:sz w:val="18"/>
                <w:szCs w:val="18"/>
                <w:lang w:val="pt-BR"/>
              </w:rPr>
              <w:t xml:space="preserve">5. COMPROVAÇÃO DO BENEFÍCIO </w:t>
            </w:r>
          </w:p>
          <w:p w14:paraId="4ED14DDF" w14:textId="77777777" w:rsidR="00D8131F" w:rsidRPr="009D6E1A" w:rsidRDefault="00D8131F" w:rsidP="009C6562">
            <w:pPr>
              <w:pStyle w:val="Default"/>
              <w:jc w:val="both"/>
              <w:rPr>
                <w:rFonts w:asciiTheme="majorHAnsi" w:hAnsiTheme="majorHAnsi" w:cstheme="majorHAnsi"/>
                <w:sz w:val="18"/>
                <w:szCs w:val="18"/>
                <w:lang w:val="pt-BR"/>
              </w:rPr>
            </w:pPr>
            <w:r w:rsidRPr="009D6E1A">
              <w:rPr>
                <w:rFonts w:asciiTheme="majorHAnsi" w:hAnsiTheme="majorHAnsi" w:cstheme="majorHAnsi"/>
                <w:i/>
                <w:iCs/>
                <w:sz w:val="18"/>
                <w:szCs w:val="18"/>
                <w:lang w:val="pt-BR"/>
              </w:rPr>
              <w:t xml:space="preserve">5.1. Alegações de propriedade funcional ou saúde </w:t>
            </w:r>
          </w:p>
          <w:p w14:paraId="4EA537C8" w14:textId="77777777" w:rsidR="00D8131F" w:rsidRPr="009D6E1A" w:rsidRDefault="00D8131F" w:rsidP="009C6562">
            <w:pPr>
              <w:pStyle w:val="Default"/>
              <w:jc w:val="both"/>
              <w:rPr>
                <w:rFonts w:asciiTheme="majorHAnsi" w:hAnsiTheme="majorHAnsi" w:cstheme="majorHAnsi"/>
                <w:sz w:val="18"/>
                <w:szCs w:val="18"/>
                <w:lang w:val="pt-BR"/>
              </w:rPr>
            </w:pPr>
            <w:r w:rsidRPr="009D6E1A">
              <w:rPr>
                <w:rFonts w:asciiTheme="majorHAnsi" w:hAnsiTheme="majorHAnsi" w:cstheme="majorHAnsi"/>
                <w:i/>
                <w:iCs/>
                <w:sz w:val="18"/>
                <w:szCs w:val="18"/>
                <w:lang w:val="pt-BR"/>
              </w:rPr>
              <w:t xml:space="preserve">“(...) Uma alegação de propriedade funcional de caráter geral é aquela cujo benefício está relacionado a uma função geral do probiótico em algum sistema do organismo (ex. contribui com a saúde do trato gastrointestinal). </w:t>
            </w:r>
          </w:p>
          <w:p w14:paraId="3359D058" w14:textId="77777777" w:rsidR="00AE634E" w:rsidRPr="009D6E1A" w:rsidRDefault="00D8131F" w:rsidP="009C6562">
            <w:pPr>
              <w:jc w:val="both"/>
              <w:rPr>
                <w:rFonts w:asciiTheme="majorHAnsi" w:hAnsiTheme="majorHAnsi" w:cstheme="majorHAnsi"/>
                <w:sz w:val="18"/>
                <w:szCs w:val="18"/>
                <w:lang w:val="pt-BR"/>
              </w:rPr>
            </w:pPr>
            <w:r w:rsidRPr="009D6E1A">
              <w:rPr>
                <w:rFonts w:asciiTheme="majorHAnsi" w:hAnsiTheme="majorHAnsi" w:cstheme="majorHAnsi"/>
                <w:i/>
                <w:iCs/>
                <w:sz w:val="18"/>
                <w:szCs w:val="18"/>
                <w:lang w:val="pt-BR"/>
              </w:rPr>
              <w:t xml:space="preserve">Caso a alegação de propriedade funcional esteja relacionada a um papel fisiológico ou metabólico específico no organismo (ex. contribui para aumentar o tempo de trânsito intestinal; contribui para a digestão da lactose), o benefício alegado é considerado como de caráter específico”. </w:t>
            </w:r>
          </w:p>
        </w:tc>
        <w:tc>
          <w:tcPr>
            <w:tcW w:w="4819" w:type="dxa"/>
          </w:tcPr>
          <w:p w14:paraId="179A8DE6" w14:textId="77777777" w:rsidR="00D8131F" w:rsidRPr="009D6E1A" w:rsidRDefault="00D8131F" w:rsidP="009C6562">
            <w:pPr>
              <w:pStyle w:val="Default"/>
              <w:jc w:val="both"/>
              <w:rPr>
                <w:rFonts w:asciiTheme="majorHAnsi" w:hAnsiTheme="majorHAnsi" w:cstheme="majorHAnsi"/>
                <w:sz w:val="18"/>
                <w:szCs w:val="18"/>
                <w:lang w:val="pt-BR"/>
              </w:rPr>
            </w:pPr>
            <w:r w:rsidRPr="009D6E1A">
              <w:rPr>
                <w:rFonts w:asciiTheme="majorHAnsi" w:hAnsiTheme="majorHAnsi" w:cstheme="majorHAnsi"/>
                <w:sz w:val="18"/>
                <w:szCs w:val="18"/>
                <w:lang w:val="pt-BR"/>
              </w:rPr>
              <w:t xml:space="preserve">Inclusão textual no item </w:t>
            </w:r>
            <w:r w:rsidRPr="009D6E1A">
              <w:rPr>
                <w:rFonts w:asciiTheme="majorHAnsi" w:hAnsiTheme="majorHAnsi" w:cstheme="majorHAnsi"/>
                <w:i/>
                <w:iCs/>
                <w:sz w:val="18"/>
                <w:szCs w:val="18"/>
                <w:lang w:val="pt-BR"/>
              </w:rPr>
              <w:t xml:space="preserve">6. COMPROVAÇÃO DO BENEFÍCIO </w:t>
            </w:r>
          </w:p>
          <w:p w14:paraId="1F426070" w14:textId="77777777" w:rsidR="00D8131F" w:rsidRPr="009D6E1A" w:rsidRDefault="00D8131F" w:rsidP="009C6562">
            <w:pPr>
              <w:pStyle w:val="Default"/>
              <w:jc w:val="both"/>
              <w:rPr>
                <w:rFonts w:asciiTheme="majorHAnsi" w:hAnsiTheme="majorHAnsi" w:cstheme="majorHAnsi"/>
                <w:color w:val="001F5F"/>
                <w:sz w:val="18"/>
                <w:szCs w:val="18"/>
                <w:lang w:val="pt-BR"/>
              </w:rPr>
            </w:pPr>
            <w:r w:rsidRPr="009D6E1A">
              <w:rPr>
                <w:rFonts w:asciiTheme="majorHAnsi" w:hAnsiTheme="majorHAnsi" w:cstheme="majorHAnsi"/>
                <w:i/>
                <w:iCs/>
                <w:color w:val="001F5F"/>
                <w:sz w:val="18"/>
                <w:szCs w:val="18"/>
                <w:lang w:val="pt-BR"/>
              </w:rPr>
              <w:t xml:space="preserve">“6.1. Alegações de propriedade funcional ou saúde </w:t>
            </w:r>
          </w:p>
          <w:p w14:paraId="507A5EC9" w14:textId="77777777" w:rsidR="00D8131F" w:rsidRPr="009D6E1A" w:rsidRDefault="00D8131F" w:rsidP="009C6562">
            <w:pPr>
              <w:pStyle w:val="Default"/>
              <w:jc w:val="both"/>
              <w:rPr>
                <w:rFonts w:asciiTheme="majorHAnsi" w:hAnsiTheme="majorHAnsi" w:cstheme="majorHAnsi"/>
                <w:b/>
                <w:sz w:val="18"/>
                <w:szCs w:val="18"/>
                <w:lang w:val="pt-BR"/>
              </w:rPr>
            </w:pPr>
            <w:r w:rsidRPr="009D6E1A">
              <w:rPr>
                <w:rFonts w:asciiTheme="majorHAnsi" w:hAnsiTheme="majorHAnsi" w:cstheme="majorHAnsi"/>
                <w:i/>
                <w:iCs/>
                <w:color w:val="001F5F"/>
                <w:sz w:val="18"/>
                <w:szCs w:val="18"/>
                <w:lang w:val="pt-BR"/>
              </w:rPr>
              <w:t xml:space="preserve">(...) Uma alegação de propriedade funcional de caráter geral é aquela cujo benefício está relacionado a uma função geral do probiótico em algum sistema do organismo (ex. contribui com a saúde do trato gastrointestinal). Embora permitida para os probióticos, esse tipo de alegação não deve ser demasiadamente </w:t>
            </w:r>
            <w:proofErr w:type="gramStart"/>
            <w:r w:rsidRPr="009D6E1A">
              <w:rPr>
                <w:rFonts w:asciiTheme="majorHAnsi" w:hAnsiTheme="majorHAnsi" w:cstheme="majorHAnsi"/>
                <w:i/>
                <w:iCs/>
                <w:color w:val="001F5F"/>
                <w:sz w:val="18"/>
                <w:szCs w:val="18"/>
                <w:lang w:val="pt-BR"/>
              </w:rPr>
              <w:t>genérica</w:t>
            </w:r>
            <w:proofErr w:type="gramEnd"/>
            <w:r w:rsidRPr="009D6E1A">
              <w:rPr>
                <w:rFonts w:asciiTheme="majorHAnsi" w:hAnsiTheme="majorHAnsi" w:cstheme="majorHAnsi"/>
                <w:i/>
                <w:iCs/>
                <w:color w:val="001F5F"/>
                <w:sz w:val="18"/>
                <w:szCs w:val="18"/>
                <w:lang w:val="pt-BR"/>
              </w:rPr>
              <w:t xml:space="preserve">, sob o risco de não ser possível obter evidências capazes de comprovar o efeito de forma mensurável ou comunicar inadequadamente o benefício alegado (FAO/WHO, 2002; BRASIL, 1969). Assim, ressaltamos que as alegações gerais de probióticos são atribuídas mais facilmente à saúde do trato gastrointestinal, local no qual essas linhagens agem diretamente. </w:t>
            </w:r>
            <w:r w:rsidRPr="009D6E1A">
              <w:rPr>
                <w:rFonts w:asciiTheme="majorHAnsi" w:hAnsiTheme="majorHAnsi" w:cstheme="majorHAnsi"/>
                <w:b/>
                <w:i/>
                <w:iCs/>
                <w:color w:val="001F5F"/>
                <w:sz w:val="18"/>
                <w:szCs w:val="18"/>
                <w:lang w:val="pt-BR"/>
              </w:rPr>
              <w:t xml:space="preserve">Alegações gerais para outros sistemas do organismo geralmente não comunicam adequadamente o benefício pretendido, sendo enganosas ao consumidor por </w:t>
            </w:r>
            <w:r w:rsidRPr="009D6E1A">
              <w:rPr>
                <w:rFonts w:asciiTheme="majorHAnsi" w:hAnsiTheme="majorHAnsi" w:cstheme="majorHAnsi"/>
                <w:b/>
                <w:i/>
                <w:iCs/>
                <w:color w:val="001F5F"/>
                <w:sz w:val="18"/>
                <w:szCs w:val="18"/>
                <w:lang w:val="pt-BR"/>
              </w:rPr>
              <w:lastRenderedPageBreak/>
              <w:t xml:space="preserve">permitir múltiplas interpretações (por exemplo: “benéficas à saúde” ou “favorecem a saúde imunológica”) </w:t>
            </w:r>
          </w:p>
          <w:p w14:paraId="01932468" w14:textId="77777777" w:rsidR="00AE634E" w:rsidRPr="009D6E1A" w:rsidRDefault="00D8131F" w:rsidP="009C6562">
            <w:pPr>
              <w:jc w:val="both"/>
              <w:rPr>
                <w:rFonts w:asciiTheme="majorHAnsi" w:hAnsiTheme="majorHAnsi" w:cstheme="majorHAnsi"/>
                <w:sz w:val="18"/>
                <w:szCs w:val="18"/>
                <w:lang w:val="pt-BR"/>
              </w:rPr>
            </w:pPr>
            <w:r w:rsidRPr="009D6E1A">
              <w:rPr>
                <w:rFonts w:asciiTheme="majorHAnsi" w:hAnsiTheme="majorHAnsi" w:cstheme="majorHAnsi"/>
                <w:i/>
                <w:iCs/>
                <w:color w:val="001F5F"/>
                <w:sz w:val="18"/>
                <w:szCs w:val="18"/>
                <w:lang w:val="pt-BR"/>
              </w:rPr>
              <w:t>Caso a alegação de propriedade funcional esteja relacionada a um papel fisiológico ou metabólico específico no organismo (ex. contribui para aumentar o tempo de trânsito intestinal; contribui para a digestão da lactose), o benefício alegado é considerado como de caráter específico. Alegações específicas são preferíveis, uma vez que comunicam mais claramente ao consumidor o benefício alegado.”</w:t>
            </w:r>
          </w:p>
        </w:tc>
        <w:tc>
          <w:tcPr>
            <w:tcW w:w="4678" w:type="dxa"/>
          </w:tcPr>
          <w:p w14:paraId="04E86607" w14:textId="77777777" w:rsidR="00AE634E" w:rsidRPr="009D6E1A" w:rsidRDefault="00D8131F" w:rsidP="009C6562">
            <w:pPr>
              <w:jc w:val="both"/>
              <w:rPr>
                <w:rFonts w:asciiTheme="majorHAnsi" w:hAnsiTheme="majorHAnsi" w:cstheme="majorHAnsi"/>
                <w:sz w:val="18"/>
                <w:szCs w:val="18"/>
                <w:lang w:val="pt-BR"/>
              </w:rPr>
            </w:pPr>
            <w:r w:rsidRPr="009D6E1A">
              <w:rPr>
                <w:rFonts w:asciiTheme="majorHAnsi" w:hAnsiTheme="majorHAnsi" w:cstheme="majorHAnsi"/>
                <w:sz w:val="18"/>
                <w:szCs w:val="18"/>
                <w:lang w:val="pt-BR"/>
              </w:rPr>
              <w:lastRenderedPageBreak/>
              <w:t xml:space="preserve">Os novos textos detalham critérios para alegações de propriedade funcional de caráter geral. No contexto desta nova versão do Guia, alegações gerais relacionadas a sistema imune, </w:t>
            </w:r>
            <w:proofErr w:type="spellStart"/>
            <w:r w:rsidRPr="009D6E1A">
              <w:rPr>
                <w:rFonts w:asciiTheme="majorHAnsi" w:hAnsiTheme="majorHAnsi" w:cstheme="majorHAnsi"/>
                <w:sz w:val="18"/>
                <w:szCs w:val="18"/>
                <w:lang w:val="pt-BR"/>
              </w:rPr>
              <w:t>inicialmentes</w:t>
            </w:r>
            <w:proofErr w:type="spellEnd"/>
            <w:r w:rsidRPr="009D6E1A">
              <w:rPr>
                <w:rFonts w:asciiTheme="majorHAnsi" w:hAnsiTheme="majorHAnsi" w:cstheme="majorHAnsi"/>
                <w:sz w:val="18"/>
                <w:szCs w:val="18"/>
                <w:lang w:val="pt-BR"/>
              </w:rPr>
              <w:t xml:space="preserve"> consideradas p</w:t>
            </w:r>
            <w:r w:rsidR="0091120D" w:rsidRPr="009D6E1A">
              <w:rPr>
                <w:rFonts w:asciiTheme="majorHAnsi" w:hAnsiTheme="majorHAnsi" w:cstheme="majorHAnsi"/>
                <w:sz w:val="18"/>
                <w:szCs w:val="18"/>
                <w:lang w:val="pt-BR"/>
              </w:rPr>
              <w:t>o</w:t>
            </w:r>
            <w:r w:rsidRPr="009D6E1A">
              <w:rPr>
                <w:rFonts w:asciiTheme="majorHAnsi" w:hAnsiTheme="majorHAnsi" w:cstheme="majorHAnsi"/>
                <w:sz w:val="18"/>
                <w:szCs w:val="18"/>
                <w:lang w:val="pt-BR"/>
              </w:rPr>
              <w:t>ssíveis para probióticos, passam a ser tratadas como enganosas</w:t>
            </w:r>
            <w:r w:rsidR="0091120D" w:rsidRPr="009D6E1A">
              <w:rPr>
                <w:rFonts w:asciiTheme="majorHAnsi" w:hAnsiTheme="majorHAnsi" w:cstheme="majorHAnsi"/>
                <w:sz w:val="18"/>
                <w:szCs w:val="18"/>
                <w:lang w:val="pt-BR"/>
              </w:rPr>
              <w:t>, embora permaneçam permitidas para vitaminas e minerais.</w:t>
            </w:r>
          </w:p>
        </w:tc>
      </w:tr>
      <w:tr w:rsidR="00AE634E" w:rsidRPr="00FD32F5" w14:paraId="569BF2A5" w14:textId="77777777" w:rsidTr="007B3C98">
        <w:tc>
          <w:tcPr>
            <w:tcW w:w="4248" w:type="dxa"/>
          </w:tcPr>
          <w:p w14:paraId="018BF067" w14:textId="77777777" w:rsidR="0091120D" w:rsidRPr="009D6E1A" w:rsidRDefault="0091120D" w:rsidP="009C6562">
            <w:pPr>
              <w:pStyle w:val="Default"/>
              <w:jc w:val="both"/>
              <w:rPr>
                <w:rFonts w:asciiTheme="majorHAnsi" w:hAnsiTheme="majorHAnsi" w:cstheme="majorHAnsi"/>
                <w:sz w:val="18"/>
                <w:szCs w:val="18"/>
                <w:lang w:val="pt-BR"/>
              </w:rPr>
            </w:pPr>
            <w:r w:rsidRPr="009D6E1A">
              <w:rPr>
                <w:rFonts w:asciiTheme="majorHAnsi" w:hAnsiTheme="majorHAnsi" w:cstheme="majorHAnsi"/>
                <w:sz w:val="18"/>
                <w:szCs w:val="18"/>
                <w:lang w:val="pt-BR"/>
              </w:rPr>
              <w:t xml:space="preserve">5.6.1. Estudos primários </w:t>
            </w:r>
          </w:p>
          <w:p w14:paraId="709253CA" w14:textId="77777777" w:rsidR="0091120D" w:rsidRPr="009D6E1A" w:rsidRDefault="0091120D" w:rsidP="009C6562">
            <w:pPr>
              <w:jc w:val="both"/>
              <w:rPr>
                <w:rFonts w:asciiTheme="majorHAnsi" w:hAnsiTheme="majorHAnsi" w:cstheme="majorHAnsi"/>
                <w:i/>
                <w:iCs/>
                <w:sz w:val="18"/>
                <w:szCs w:val="18"/>
                <w:lang w:val="pt-BR"/>
              </w:rPr>
            </w:pPr>
            <w:r w:rsidRPr="009D6E1A">
              <w:rPr>
                <w:rFonts w:asciiTheme="majorHAnsi" w:hAnsiTheme="majorHAnsi" w:cstheme="majorHAnsi"/>
                <w:i/>
                <w:iCs/>
                <w:sz w:val="18"/>
                <w:szCs w:val="18"/>
                <w:lang w:val="pt-BR"/>
              </w:rPr>
              <w:t>“A metodologia proposta para avaliação da força da evidência foi adaptada dos modelos adotados pelo Ministério de Saúde do Canadá (HEALTH CANADA, 2009) e pela Agência Americana de Alimentos e Medicamentos (FDA, 2003), conforme descrito no Quadro 2.</w:t>
            </w:r>
          </w:p>
          <w:p w14:paraId="38A56B50" w14:textId="77777777" w:rsidR="0091120D" w:rsidRPr="009D6E1A" w:rsidRDefault="0091120D" w:rsidP="009C6562">
            <w:pPr>
              <w:jc w:val="both"/>
              <w:rPr>
                <w:rFonts w:asciiTheme="majorHAnsi" w:hAnsiTheme="majorHAnsi" w:cstheme="majorHAnsi"/>
                <w:i/>
                <w:iCs/>
                <w:sz w:val="18"/>
                <w:szCs w:val="18"/>
                <w:lang w:val="pt-BR"/>
              </w:rPr>
            </w:pPr>
            <w:r w:rsidRPr="009D6E1A">
              <w:rPr>
                <w:rFonts w:asciiTheme="majorHAnsi" w:hAnsiTheme="majorHAnsi" w:cstheme="majorHAnsi"/>
                <w:i/>
                <w:iCs/>
                <w:sz w:val="18"/>
                <w:szCs w:val="18"/>
                <w:lang w:val="pt-BR"/>
              </w:rPr>
              <w:t>(...)</w:t>
            </w:r>
          </w:p>
          <w:p w14:paraId="3D12B5E7" w14:textId="77777777" w:rsidR="00AE634E" w:rsidRPr="009D6E1A" w:rsidRDefault="0091120D" w:rsidP="009C6562">
            <w:pPr>
              <w:jc w:val="both"/>
              <w:rPr>
                <w:rFonts w:asciiTheme="majorHAnsi" w:hAnsiTheme="majorHAnsi" w:cstheme="majorHAnsi"/>
                <w:sz w:val="18"/>
                <w:szCs w:val="18"/>
                <w:lang w:val="pt-BR"/>
              </w:rPr>
            </w:pPr>
            <w:r w:rsidRPr="009D6E1A">
              <w:rPr>
                <w:rFonts w:asciiTheme="majorHAnsi" w:hAnsiTheme="majorHAnsi" w:cstheme="majorHAnsi"/>
                <w:i/>
                <w:iCs/>
                <w:sz w:val="18"/>
                <w:szCs w:val="18"/>
                <w:lang w:val="pt-BR"/>
              </w:rPr>
              <w:t>Para estudos observacionais de coorte, são utilizados quatro indicadores para avaliar a consistência do efeito em relação à redução, ausência ou aumento do risco, considerando também a qualidade do estudo. O primeiro é calculado a partir da totalidade dos estudos com redução de risco. O segundo é calculado a partir da totalidade dos estudos com aumento de risco. O terceiro é calculado a partir da totalidade dos estudos com ausência de risco. O quarto considera apenas os estudos com qualidade satisfatória e redução de risco.”</w:t>
            </w:r>
          </w:p>
        </w:tc>
        <w:tc>
          <w:tcPr>
            <w:tcW w:w="4819" w:type="dxa"/>
          </w:tcPr>
          <w:p w14:paraId="11D93098" w14:textId="77777777" w:rsidR="0091120D" w:rsidRPr="009D6E1A" w:rsidRDefault="0091120D" w:rsidP="009C6562">
            <w:pPr>
              <w:pStyle w:val="Default"/>
              <w:jc w:val="both"/>
              <w:rPr>
                <w:rFonts w:asciiTheme="majorHAnsi" w:hAnsiTheme="majorHAnsi" w:cstheme="majorHAnsi"/>
                <w:sz w:val="18"/>
                <w:szCs w:val="18"/>
                <w:lang w:val="pt-BR"/>
              </w:rPr>
            </w:pPr>
            <w:r w:rsidRPr="009D6E1A">
              <w:rPr>
                <w:rFonts w:asciiTheme="majorHAnsi" w:hAnsiTheme="majorHAnsi" w:cstheme="majorHAnsi"/>
                <w:sz w:val="18"/>
                <w:szCs w:val="18"/>
                <w:lang w:val="pt-BR"/>
              </w:rPr>
              <w:t xml:space="preserve">Inclusão de texto no item 6.6.2. Estudos primários: </w:t>
            </w:r>
          </w:p>
          <w:p w14:paraId="5429EA3E" w14:textId="77777777" w:rsidR="0091120D" w:rsidRPr="009D6E1A" w:rsidRDefault="0091120D" w:rsidP="009C6562">
            <w:pPr>
              <w:jc w:val="both"/>
              <w:rPr>
                <w:rFonts w:asciiTheme="majorHAnsi" w:hAnsiTheme="majorHAnsi" w:cstheme="majorHAnsi"/>
                <w:i/>
                <w:iCs/>
                <w:color w:val="001F5F"/>
                <w:sz w:val="18"/>
                <w:szCs w:val="18"/>
                <w:lang w:val="pt-BR"/>
              </w:rPr>
            </w:pPr>
            <w:r w:rsidRPr="009D6E1A">
              <w:rPr>
                <w:rFonts w:asciiTheme="majorHAnsi" w:hAnsiTheme="majorHAnsi" w:cstheme="majorHAnsi"/>
                <w:i/>
                <w:iCs/>
                <w:color w:val="001F5F"/>
                <w:sz w:val="18"/>
                <w:szCs w:val="18"/>
                <w:lang w:val="pt-BR"/>
              </w:rPr>
              <w:t>“A metodologia proposta para avaliação da força da evidência foi adaptada dos modelos adotados pelo Ministério de Saúde do Canadá (HEALTH CANADA, 2009) e pela Agência Americana de Alimentos e Medicamentos (FDA, 2003), conforme descrito no Quadro 2. Essa avaliação deve ser apresentada, separadamente, por desfecho. Desfechos substitutos ou intermediários (marcadores fisiológicos ou bioquímicos), que não são considerados suficientes para comprovação do efeito, não devem ser incluídos nessa qualificação.</w:t>
            </w:r>
          </w:p>
          <w:p w14:paraId="670C411C" w14:textId="77777777" w:rsidR="0091120D" w:rsidRPr="009D6E1A" w:rsidRDefault="0091120D" w:rsidP="009C6562">
            <w:pPr>
              <w:jc w:val="both"/>
              <w:rPr>
                <w:rFonts w:asciiTheme="majorHAnsi" w:hAnsiTheme="majorHAnsi" w:cstheme="majorHAnsi"/>
                <w:i/>
                <w:iCs/>
                <w:color w:val="001F5F"/>
                <w:sz w:val="18"/>
                <w:szCs w:val="18"/>
                <w:lang w:val="pt-BR"/>
              </w:rPr>
            </w:pPr>
            <w:r w:rsidRPr="009D6E1A">
              <w:rPr>
                <w:rFonts w:asciiTheme="majorHAnsi" w:hAnsiTheme="majorHAnsi" w:cstheme="majorHAnsi"/>
                <w:i/>
                <w:iCs/>
                <w:color w:val="001F5F"/>
                <w:sz w:val="18"/>
                <w:szCs w:val="18"/>
                <w:lang w:val="pt-BR"/>
              </w:rPr>
              <w:t>(...)</w:t>
            </w:r>
          </w:p>
          <w:p w14:paraId="5C2AC149" w14:textId="77777777" w:rsidR="00AE634E" w:rsidRPr="009D6E1A" w:rsidRDefault="0091120D" w:rsidP="009C6562">
            <w:pPr>
              <w:jc w:val="both"/>
              <w:rPr>
                <w:rFonts w:asciiTheme="majorHAnsi" w:hAnsiTheme="majorHAnsi" w:cstheme="majorHAnsi"/>
                <w:sz w:val="18"/>
                <w:szCs w:val="18"/>
                <w:lang w:val="pt-BR"/>
              </w:rPr>
            </w:pPr>
            <w:r w:rsidRPr="009D6E1A">
              <w:rPr>
                <w:rFonts w:asciiTheme="majorHAnsi" w:hAnsiTheme="majorHAnsi" w:cstheme="majorHAnsi"/>
                <w:i/>
                <w:iCs/>
                <w:color w:val="001F5F"/>
                <w:sz w:val="18"/>
                <w:szCs w:val="18"/>
                <w:lang w:val="pt-BR"/>
              </w:rPr>
              <w:t>Para estudos observacionais de coorte, são utilizados quatro indicadores para avaliar a consistência do efeito em relação à redução, ausência ou aumento do risco, considerando também a qualidade do estudo. O primeiro é calculado a partir da totalidade dos estudos com redução de risco (CR1). O segundo é calculado a partir da totalidade dos estudos com aumento de risco (CR2). O terceiro é calculado a partir da totalidade dos estudos com ausência de risco (CR3). O quarto considera apenas os estudos com qualidade satisfatória e redução de risco (CR4).”</w:t>
            </w:r>
          </w:p>
        </w:tc>
        <w:tc>
          <w:tcPr>
            <w:tcW w:w="4678" w:type="dxa"/>
          </w:tcPr>
          <w:p w14:paraId="6F45FFDC" w14:textId="77777777" w:rsidR="0091120D" w:rsidRPr="009D6E1A" w:rsidRDefault="0091120D" w:rsidP="009C6562">
            <w:pPr>
              <w:pStyle w:val="Default"/>
              <w:jc w:val="both"/>
              <w:rPr>
                <w:rFonts w:asciiTheme="majorHAnsi" w:hAnsiTheme="majorHAnsi" w:cstheme="majorHAnsi"/>
                <w:sz w:val="18"/>
                <w:szCs w:val="18"/>
                <w:lang w:val="pt-BR"/>
              </w:rPr>
            </w:pPr>
            <w:r w:rsidRPr="009D6E1A">
              <w:rPr>
                <w:rFonts w:asciiTheme="majorHAnsi" w:hAnsiTheme="majorHAnsi" w:cstheme="majorHAnsi"/>
                <w:sz w:val="18"/>
                <w:szCs w:val="18"/>
                <w:lang w:val="pt-BR"/>
              </w:rPr>
              <w:t>De acordo com a nova redação a ANVISA deixa claro que em estudos em que foram avaliados diferentes desfechos, cada desfecho deve ser considerado e fazer parte da Força da Evidência. Isto é, a Agência propõe a estratificação dos desfechos clínicos avaliados no estudo. Em relação aos desfechos substitutos que incluem marcadores os mesmos devem ser desconsiderados no cálculo.</w:t>
            </w:r>
          </w:p>
          <w:p w14:paraId="151B626F" w14:textId="0367B965" w:rsidR="00AE634E" w:rsidRPr="009D6E1A" w:rsidRDefault="0091120D" w:rsidP="009C6562">
            <w:pPr>
              <w:jc w:val="both"/>
              <w:rPr>
                <w:rFonts w:asciiTheme="majorHAnsi" w:hAnsiTheme="majorHAnsi" w:cstheme="majorHAnsi"/>
                <w:sz w:val="18"/>
                <w:szCs w:val="18"/>
                <w:lang w:val="pt-BR"/>
              </w:rPr>
            </w:pPr>
            <w:r w:rsidRPr="009D6E1A">
              <w:rPr>
                <w:rFonts w:asciiTheme="majorHAnsi" w:hAnsiTheme="majorHAnsi" w:cstheme="majorHAnsi"/>
                <w:sz w:val="18"/>
                <w:szCs w:val="18"/>
                <w:lang w:val="pt-BR"/>
              </w:rPr>
              <w:t xml:space="preserve">A adoção da estratificação dos desfechos, ou seja, a adoção de “desfecho” como equivalente a “estudo”, que já vem ocorrendo em avaliações da ANVISA, pode resultar em eventual diminuição da Força da evidência para comprovação do benefício, uma vez que muitas vezes apenas um único desfecho dentre os avaliados teve resultado favorável e significativo, </w:t>
            </w:r>
            <w:r w:rsidR="00671A0E">
              <w:rPr>
                <w:rFonts w:asciiTheme="majorHAnsi" w:hAnsiTheme="majorHAnsi" w:cstheme="majorHAnsi"/>
                <w:sz w:val="18"/>
                <w:szCs w:val="18"/>
                <w:lang w:val="pt-BR"/>
              </w:rPr>
              <w:t>p</w:t>
            </w:r>
            <w:r w:rsidRPr="009D6E1A">
              <w:rPr>
                <w:rFonts w:asciiTheme="majorHAnsi" w:hAnsiTheme="majorHAnsi" w:cstheme="majorHAnsi"/>
                <w:sz w:val="18"/>
                <w:szCs w:val="18"/>
                <w:lang w:val="pt-BR"/>
              </w:rPr>
              <w:t>or exemplo, um estudo que avaliou diminuição de tempo de trânsito intestinal, dor abdominal, náusea e consistência de fezes: Se apenas 2 dos 4 desfechos tenham sido favoráveis e significativos a Associação passa a ser 50%.</w:t>
            </w:r>
          </w:p>
        </w:tc>
      </w:tr>
      <w:tr w:rsidR="0091120D" w:rsidRPr="00FD32F5" w14:paraId="7DB0D9BC" w14:textId="77777777" w:rsidTr="007B3C98">
        <w:tc>
          <w:tcPr>
            <w:tcW w:w="4248" w:type="dxa"/>
          </w:tcPr>
          <w:p w14:paraId="37B8983B" w14:textId="77777777" w:rsidR="0091120D" w:rsidRPr="009D6E1A" w:rsidRDefault="0091120D" w:rsidP="009C6562">
            <w:pPr>
              <w:pStyle w:val="Default"/>
              <w:jc w:val="both"/>
              <w:rPr>
                <w:rFonts w:asciiTheme="majorHAnsi" w:hAnsiTheme="majorHAnsi" w:cstheme="majorHAnsi"/>
                <w:sz w:val="18"/>
                <w:szCs w:val="18"/>
                <w:lang w:val="pt-BR"/>
              </w:rPr>
            </w:pPr>
            <w:r w:rsidRPr="009D6E1A">
              <w:rPr>
                <w:rFonts w:asciiTheme="majorHAnsi" w:hAnsiTheme="majorHAnsi" w:cstheme="majorHAnsi"/>
                <w:sz w:val="18"/>
                <w:szCs w:val="18"/>
                <w:lang w:val="pt-BR"/>
              </w:rPr>
              <w:t xml:space="preserve">6. CONSIDERAÇÕES FINAIS </w:t>
            </w:r>
          </w:p>
          <w:p w14:paraId="3FB4E5AD" w14:textId="77777777" w:rsidR="0091120D" w:rsidRPr="009D6E1A" w:rsidRDefault="0091120D" w:rsidP="009C6562">
            <w:pPr>
              <w:pStyle w:val="Default"/>
              <w:jc w:val="both"/>
              <w:rPr>
                <w:rFonts w:asciiTheme="majorHAnsi" w:hAnsiTheme="majorHAnsi" w:cstheme="majorHAnsi"/>
                <w:i/>
                <w:iCs/>
                <w:sz w:val="18"/>
                <w:szCs w:val="18"/>
                <w:lang w:val="pt-BR"/>
              </w:rPr>
            </w:pPr>
            <w:r w:rsidRPr="009D6E1A">
              <w:rPr>
                <w:rFonts w:asciiTheme="majorHAnsi" w:hAnsiTheme="majorHAnsi" w:cstheme="majorHAnsi"/>
                <w:i/>
                <w:iCs/>
                <w:sz w:val="18"/>
                <w:szCs w:val="18"/>
                <w:lang w:val="pt-BR"/>
              </w:rPr>
              <w:t>“Após preenchimento dos documentos que compõe o dossiê técnico-científico para fundamentar a alegação e comprovar a identidade, segurança e eficácia da linhagem probiótica, deve ser apresentada uma conclusão ratificando a apresentação e análise da totalidade da evidência para sustentar a informação documentada.</w:t>
            </w:r>
          </w:p>
          <w:p w14:paraId="19DBFA50" w14:textId="77777777" w:rsidR="0091120D" w:rsidRPr="009D6E1A" w:rsidRDefault="0091120D" w:rsidP="009C6562">
            <w:pPr>
              <w:pStyle w:val="Default"/>
              <w:jc w:val="both"/>
              <w:rPr>
                <w:rFonts w:asciiTheme="majorHAnsi" w:hAnsiTheme="majorHAnsi" w:cstheme="majorHAnsi"/>
                <w:i/>
                <w:iCs/>
                <w:sz w:val="18"/>
                <w:szCs w:val="18"/>
                <w:lang w:val="pt-BR"/>
              </w:rPr>
            </w:pPr>
            <w:r w:rsidRPr="009D6E1A">
              <w:rPr>
                <w:rFonts w:asciiTheme="majorHAnsi" w:hAnsiTheme="majorHAnsi" w:cstheme="majorHAnsi"/>
                <w:i/>
                <w:iCs/>
                <w:sz w:val="18"/>
                <w:szCs w:val="18"/>
                <w:lang w:val="pt-BR"/>
              </w:rPr>
              <w:t xml:space="preserve">A conclusão final da força da evidência requer uma ponderação sobre o resultado da avaliação de cada um dos domínios, não havendo uma fórmula simplificada para direcionar essa decisão. A importância de cada um </w:t>
            </w:r>
            <w:r w:rsidRPr="009D6E1A">
              <w:rPr>
                <w:rFonts w:asciiTheme="majorHAnsi" w:hAnsiTheme="majorHAnsi" w:cstheme="majorHAnsi"/>
                <w:i/>
                <w:iCs/>
                <w:sz w:val="18"/>
                <w:szCs w:val="18"/>
                <w:lang w:val="pt-BR"/>
              </w:rPr>
              <w:lastRenderedPageBreak/>
              <w:t>desses domínios para a comprovação do benefício deve ser levada em conta, assim como deve-se contrapor os resultados obtidos.</w:t>
            </w:r>
          </w:p>
          <w:p w14:paraId="271E8816" w14:textId="77777777" w:rsidR="0091120D" w:rsidRPr="009D6E1A" w:rsidRDefault="0091120D" w:rsidP="009C6562">
            <w:pPr>
              <w:pStyle w:val="Default"/>
              <w:jc w:val="both"/>
              <w:rPr>
                <w:rFonts w:asciiTheme="majorHAnsi" w:hAnsiTheme="majorHAnsi" w:cstheme="majorHAnsi"/>
                <w:i/>
                <w:iCs/>
                <w:sz w:val="18"/>
                <w:szCs w:val="18"/>
                <w:lang w:val="pt-BR"/>
              </w:rPr>
            </w:pPr>
            <w:r w:rsidRPr="009D6E1A">
              <w:rPr>
                <w:rFonts w:asciiTheme="majorHAnsi" w:hAnsiTheme="majorHAnsi" w:cstheme="majorHAnsi"/>
                <w:i/>
                <w:iCs/>
                <w:sz w:val="18"/>
                <w:szCs w:val="18"/>
                <w:lang w:val="pt-BR"/>
              </w:rPr>
              <w:t xml:space="preserve">Para a sustentação de um efeito benéfico de caráter geral é imprescindível que a evidência seja consistente, e a força da associação recebe menor criticidade. Para a sustentação de um efeito benéfico de caráter específico </w:t>
            </w:r>
            <w:proofErr w:type="gramStart"/>
            <w:r w:rsidRPr="009D6E1A">
              <w:rPr>
                <w:rFonts w:asciiTheme="majorHAnsi" w:hAnsiTheme="majorHAnsi" w:cstheme="majorHAnsi"/>
                <w:i/>
                <w:iCs/>
                <w:sz w:val="18"/>
                <w:szCs w:val="18"/>
                <w:lang w:val="pt-BR"/>
              </w:rPr>
              <w:t>ambos domínios</w:t>
            </w:r>
            <w:proofErr w:type="gramEnd"/>
            <w:r w:rsidRPr="009D6E1A">
              <w:rPr>
                <w:rFonts w:asciiTheme="majorHAnsi" w:hAnsiTheme="majorHAnsi" w:cstheme="majorHAnsi"/>
                <w:i/>
                <w:iCs/>
                <w:sz w:val="18"/>
                <w:szCs w:val="18"/>
                <w:lang w:val="pt-BR"/>
              </w:rPr>
              <w:t xml:space="preserve"> são críticos para a conclusão.</w:t>
            </w:r>
          </w:p>
          <w:p w14:paraId="5957703C" w14:textId="77777777" w:rsidR="0091120D" w:rsidRPr="009D6E1A" w:rsidRDefault="0091120D" w:rsidP="009C6562">
            <w:pPr>
              <w:pStyle w:val="Default"/>
              <w:jc w:val="both"/>
              <w:rPr>
                <w:rFonts w:asciiTheme="majorHAnsi" w:hAnsiTheme="majorHAnsi" w:cstheme="majorHAnsi"/>
                <w:sz w:val="18"/>
                <w:szCs w:val="18"/>
                <w:lang w:val="pt-BR"/>
              </w:rPr>
            </w:pPr>
            <w:r w:rsidRPr="009D6E1A">
              <w:rPr>
                <w:rFonts w:asciiTheme="majorHAnsi" w:hAnsiTheme="majorHAnsi" w:cstheme="majorHAnsi"/>
                <w:i/>
                <w:iCs/>
                <w:sz w:val="18"/>
                <w:szCs w:val="18"/>
                <w:lang w:val="pt-BR"/>
              </w:rPr>
              <w:t xml:space="preserve">No que tange à comprovação de alegação de saúde, se a consistência relacionada à redução do risco (CR 1 e CR 4) for </w:t>
            </w:r>
            <w:proofErr w:type="gramStart"/>
            <w:r w:rsidRPr="009D6E1A">
              <w:rPr>
                <w:rFonts w:asciiTheme="majorHAnsi" w:hAnsiTheme="majorHAnsi" w:cstheme="majorHAnsi"/>
                <w:i/>
                <w:iCs/>
                <w:sz w:val="18"/>
                <w:szCs w:val="18"/>
                <w:lang w:val="pt-BR"/>
              </w:rPr>
              <w:t>baixa</w:t>
            </w:r>
            <w:proofErr w:type="gramEnd"/>
            <w:r w:rsidRPr="009D6E1A">
              <w:rPr>
                <w:rFonts w:asciiTheme="majorHAnsi" w:hAnsiTheme="majorHAnsi" w:cstheme="majorHAnsi"/>
                <w:i/>
                <w:iCs/>
                <w:sz w:val="18"/>
                <w:szCs w:val="18"/>
                <w:lang w:val="pt-BR"/>
              </w:rPr>
              <w:t xml:space="preserve"> ou se a consistência relacionada ao aumento de risco ou ausência de efeito for alta ou moderada (CR 2 e CR 3), não há comprovação do benefício”.</w:t>
            </w:r>
          </w:p>
        </w:tc>
        <w:tc>
          <w:tcPr>
            <w:tcW w:w="4819" w:type="dxa"/>
          </w:tcPr>
          <w:p w14:paraId="0A798923" w14:textId="77777777" w:rsidR="0091120D" w:rsidRPr="009D6E1A" w:rsidRDefault="0091120D" w:rsidP="009C6562">
            <w:pPr>
              <w:pStyle w:val="Default"/>
              <w:jc w:val="both"/>
              <w:rPr>
                <w:rFonts w:asciiTheme="majorHAnsi" w:hAnsiTheme="majorHAnsi" w:cstheme="majorHAnsi"/>
                <w:color w:val="002060"/>
                <w:sz w:val="18"/>
                <w:szCs w:val="18"/>
                <w:lang w:val="pt-BR"/>
              </w:rPr>
            </w:pPr>
            <w:r w:rsidRPr="009D6E1A">
              <w:rPr>
                <w:rFonts w:asciiTheme="majorHAnsi" w:hAnsiTheme="majorHAnsi" w:cstheme="majorHAnsi"/>
                <w:color w:val="002060"/>
                <w:sz w:val="18"/>
                <w:szCs w:val="18"/>
                <w:lang w:val="pt-BR"/>
              </w:rPr>
              <w:lastRenderedPageBreak/>
              <w:t xml:space="preserve">Reescrita dos textos e demonstração da estratégia a ser adotada para a seção “Conclusão final” do dossiê referente ao item 7. CONSIDERAÇÕES FINAIS </w:t>
            </w:r>
          </w:p>
          <w:p w14:paraId="738EC74C" w14:textId="77777777" w:rsidR="0091120D" w:rsidRPr="009D6E1A" w:rsidRDefault="0091120D" w:rsidP="009C6562">
            <w:pPr>
              <w:pStyle w:val="Default"/>
              <w:jc w:val="both"/>
              <w:rPr>
                <w:rFonts w:asciiTheme="majorHAnsi" w:hAnsiTheme="majorHAnsi" w:cstheme="majorHAnsi"/>
                <w:i/>
                <w:iCs/>
                <w:color w:val="002060"/>
                <w:sz w:val="18"/>
                <w:szCs w:val="18"/>
                <w:lang w:val="pt-BR"/>
              </w:rPr>
            </w:pPr>
            <w:r w:rsidRPr="009D6E1A">
              <w:rPr>
                <w:rFonts w:asciiTheme="majorHAnsi" w:hAnsiTheme="majorHAnsi" w:cstheme="majorHAnsi"/>
                <w:i/>
                <w:iCs/>
                <w:color w:val="002060"/>
                <w:sz w:val="18"/>
                <w:szCs w:val="18"/>
                <w:lang w:val="pt-BR"/>
              </w:rPr>
              <w:t>“Para aprovação de uma alegação de propriedade funcional ou saúde, os seguintes critérios de causalidade devem ser observados:</w:t>
            </w:r>
          </w:p>
          <w:p w14:paraId="4780A8AB" w14:textId="77777777" w:rsidR="0091120D" w:rsidRPr="009D6E1A" w:rsidRDefault="0091120D" w:rsidP="009C6562">
            <w:pPr>
              <w:pStyle w:val="Default"/>
              <w:jc w:val="both"/>
              <w:rPr>
                <w:rFonts w:asciiTheme="majorHAnsi" w:hAnsiTheme="majorHAnsi" w:cstheme="majorHAnsi"/>
                <w:i/>
                <w:iCs/>
                <w:color w:val="002060"/>
                <w:sz w:val="18"/>
                <w:szCs w:val="18"/>
                <w:lang w:val="pt-BR"/>
              </w:rPr>
            </w:pPr>
            <w:r w:rsidRPr="009D6E1A">
              <w:rPr>
                <w:rFonts w:asciiTheme="majorHAnsi" w:hAnsiTheme="majorHAnsi" w:cstheme="majorHAnsi"/>
                <w:i/>
                <w:iCs/>
                <w:color w:val="002060"/>
                <w:sz w:val="18"/>
                <w:szCs w:val="18"/>
                <w:lang w:val="pt-BR"/>
              </w:rPr>
              <w:t xml:space="preserve">A. Consistência: Os resultados dos estudos devem convergir de forma favorável ao uso do probiótico nas condições pleiteadas. Resultados de estudos que são replicados em diferentes populações e por diferentes investigadores têm mais peso do que aqueles que não o são. Se os resultados dos estudos forem </w:t>
            </w:r>
            <w:r w:rsidRPr="009D6E1A">
              <w:rPr>
                <w:rFonts w:asciiTheme="majorHAnsi" w:hAnsiTheme="majorHAnsi" w:cstheme="majorHAnsi"/>
                <w:i/>
                <w:iCs/>
                <w:color w:val="002060"/>
                <w:sz w:val="18"/>
                <w:szCs w:val="18"/>
                <w:lang w:val="pt-BR"/>
              </w:rPr>
              <w:lastRenderedPageBreak/>
              <w:t>inconsistentes, essa inconsistência deve ser explicada. Ressaltamos que estudos únicos raramente são definitivos.</w:t>
            </w:r>
          </w:p>
          <w:p w14:paraId="2DD37DEA" w14:textId="77777777" w:rsidR="0091120D" w:rsidRPr="009D6E1A" w:rsidRDefault="0091120D" w:rsidP="009C6562">
            <w:pPr>
              <w:pStyle w:val="Default"/>
              <w:jc w:val="both"/>
              <w:rPr>
                <w:rFonts w:asciiTheme="majorHAnsi" w:hAnsiTheme="majorHAnsi" w:cstheme="majorHAnsi"/>
                <w:i/>
                <w:iCs/>
                <w:color w:val="002060"/>
                <w:sz w:val="18"/>
                <w:szCs w:val="18"/>
                <w:lang w:val="pt-BR"/>
              </w:rPr>
            </w:pPr>
            <w:r w:rsidRPr="009D6E1A">
              <w:rPr>
                <w:rFonts w:asciiTheme="majorHAnsi" w:hAnsiTheme="majorHAnsi" w:cstheme="majorHAnsi"/>
                <w:i/>
                <w:iCs/>
                <w:color w:val="002060"/>
                <w:sz w:val="18"/>
                <w:szCs w:val="18"/>
                <w:lang w:val="pt-BR"/>
              </w:rPr>
              <w:t xml:space="preserve">B. Associação: Deve haver demonstração de uma relação estatística entre o consumo da linhagem e os desfechos avaliados (probabilidade). Os estudos devem apresentar resultados </w:t>
            </w:r>
            <w:proofErr w:type="spellStart"/>
            <w:r w:rsidRPr="009D6E1A">
              <w:rPr>
                <w:rFonts w:asciiTheme="majorHAnsi" w:hAnsiTheme="majorHAnsi" w:cstheme="majorHAnsi"/>
                <w:i/>
                <w:iCs/>
                <w:color w:val="002060"/>
                <w:sz w:val="18"/>
                <w:szCs w:val="18"/>
                <w:lang w:val="pt-BR"/>
              </w:rPr>
              <w:t>estatiscamente</w:t>
            </w:r>
            <w:proofErr w:type="spellEnd"/>
            <w:r w:rsidRPr="009D6E1A">
              <w:rPr>
                <w:rFonts w:asciiTheme="majorHAnsi" w:hAnsiTheme="majorHAnsi" w:cstheme="majorHAnsi"/>
                <w:i/>
                <w:iCs/>
                <w:color w:val="002060"/>
                <w:sz w:val="18"/>
                <w:szCs w:val="18"/>
                <w:lang w:val="pt-BR"/>
              </w:rPr>
              <w:t xml:space="preserve"> significativos. A força da associação é melhor medida pela extensão em que o risco relativo ou </w:t>
            </w:r>
            <w:proofErr w:type="spellStart"/>
            <w:r w:rsidRPr="009D6E1A">
              <w:rPr>
                <w:rFonts w:asciiTheme="majorHAnsi" w:hAnsiTheme="majorHAnsi" w:cstheme="majorHAnsi"/>
                <w:i/>
                <w:iCs/>
                <w:color w:val="002060"/>
                <w:sz w:val="18"/>
                <w:szCs w:val="18"/>
                <w:lang w:val="pt-BR"/>
              </w:rPr>
              <w:t>odds</w:t>
            </w:r>
            <w:proofErr w:type="spellEnd"/>
            <w:r w:rsidRPr="009D6E1A">
              <w:rPr>
                <w:rFonts w:asciiTheme="majorHAnsi" w:hAnsiTheme="majorHAnsi" w:cstheme="majorHAnsi"/>
                <w:i/>
                <w:iCs/>
                <w:color w:val="002060"/>
                <w:sz w:val="18"/>
                <w:szCs w:val="18"/>
                <w:lang w:val="pt-BR"/>
              </w:rPr>
              <w:t xml:space="preserve"> </w:t>
            </w:r>
            <w:proofErr w:type="spellStart"/>
            <w:r w:rsidRPr="009D6E1A">
              <w:rPr>
                <w:rFonts w:asciiTheme="majorHAnsi" w:hAnsiTheme="majorHAnsi" w:cstheme="majorHAnsi"/>
                <w:i/>
                <w:iCs/>
                <w:color w:val="002060"/>
                <w:sz w:val="18"/>
                <w:szCs w:val="18"/>
                <w:lang w:val="pt-BR"/>
              </w:rPr>
              <w:t>ratio</w:t>
            </w:r>
            <w:proofErr w:type="spellEnd"/>
            <w:r w:rsidRPr="009D6E1A">
              <w:rPr>
                <w:rFonts w:asciiTheme="majorHAnsi" w:hAnsiTheme="majorHAnsi" w:cstheme="majorHAnsi"/>
                <w:i/>
                <w:iCs/>
                <w:color w:val="002060"/>
                <w:sz w:val="18"/>
                <w:szCs w:val="18"/>
                <w:lang w:val="pt-BR"/>
              </w:rPr>
              <w:t xml:space="preserve"> se afasta da unidade (1). Dentro do escopo de alegações de saúde (redução de risco), o risco relativo ou </w:t>
            </w:r>
            <w:proofErr w:type="spellStart"/>
            <w:r w:rsidRPr="009D6E1A">
              <w:rPr>
                <w:rFonts w:asciiTheme="majorHAnsi" w:hAnsiTheme="majorHAnsi" w:cstheme="majorHAnsi"/>
                <w:i/>
                <w:iCs/>
                <w:color w:val="002060"/>
                <w:sz w:val="18"/>
                <w:szCs w:val="18"/>
                <w:lang w:val="pt-BR"/>
              </w:rPr>
              <w:t>odds</w:t>
            </w:r>
            <w:proofErr w:type="spellEnd"/>
            <w:r w:rsidRPr="009D6E1A">
              <w:rPr>
                <w:rFonts w:asciiTheme="majorHAnsi" w:hAnsiTheme="majorHAnsi" w:cstheme="majorHAnsi"/>
                <w:i/>
                <w:iCs/>
                <w:color w:val="002060"/>
                <w:sz w:val="18"/>
                <w:szCs w:val="18"/>
                <w:lang w:val="pt-BR"/>
              </w:rPr>
              <w:t xml:space="preserve"> </w:t>
            </w:r>
            <w:proofErr w:type="spellStart"/>
            <w:r w:rsidRPr="009D6E1A">
              <w:rPr>
                <w:rFonts w:asciiTheme="majorHAnsi" w:hAnsiTheme="majorHAnsi" w:cstheme="majorHAnsi"/>
                <w:i/>
                <w:iCs/>
                <w:color w:val="002060"/>
                <w:sz w:val="18"/>
                <w:szCs w:val="18"/>
                <w:lang w:val="pt-BR"/>
              </w:rPr>
              <w:t>ratio</w:t>
            </w:r>
            <w:proofErr w:type="spellEnd"/>
            <w:r w:rsidRPr="009D6E1A">
              <w:rPr>
                <w:rFonts w:asciiTheme="majorHAnsi" w:hAnsiTheme="majorHAnsi" w:cstheme="majorHAnsi"/>
                <w:i/>
                <w:iCs/>
                <w:color w:val="002060"/>
                <w:sz w:val="18"/>
                <w:szCs w:val="18"/>
                <w:lang w:val="pt-BR"/>
              </w:rPr>
              <w:t xml:space="preserve"> abaixo de um e um intervalo de confiança que não se sobreponha a um (ou um alto nível de significância estatística) seria indicativo de uma força significativa de associação. Relações fracas de associação são suscetíveis a confusão e podem refletir uma medição inadequada de exposição ou resultado.</w:t>
            </w:r>
          </w:p>
          <w:p w14:paraId="25925306" w14:textId="77777777" w:rsidR="0091120D" w:rsidRPr="009D6E1A" w:rsidRDefault="0091120D" w:rsidP="009C6562">
            <w:pPr>
              <w:pStyle w:val="Default"/>
              <w:jc w:val="both"/>
              <w:rPr>
                <w:rFonts w:asciiTheme="majorHAnsi" w:hAnsiTheme="majorHAnsi" w:cstheme="majorHAnsi"/>
                <w:i/>
                <w:iCs/>
                <w:color w:val="002060"/>
                <w:sz w:val="18"/>
                <w:szCs w:val="18"/>
                <w:lang w:val="pt-BR"/>
              </w:rPr>
            </w:pPr>
            <w:r w:rsidRPr="009D6E1A">
              <w:rPr>
                <w:rFonts w:asciiTheme="majorHAnsi" w:hAnsiTheme="majorHAnsi" w:cstheme="majorHAnsi"/>
                <w:i/>
                <w:iCs/>
                <w:color w:val="002060"/>
                <w:sz w:val="18"/>
                <w:szCs w:val="18"/>
                <w:lang w:val="pt-BR"/>
              </w:rPr>
              <w:t>C. Magnitude do efeito: A magnitude de um efeito é refletida na mudança no efeito (benefício) em relação ao controle (tamanho do efeito). Trata-se da diferença numérica e percentual entre o grupo placebo/controle e o grupo intervenção e à existência de diferem estatisticamente significante entre intervenção e controle.</w:t>
            </w:r>
          </w:p>
          <w:p w14:paraId="7987DEEC" w14:textId="77777777" w:rsidR="0091120D" w:rsidRPr="009D6E1A" w:rsidRDefault="0091120D" w:rsidP="009C6562">
            <w:pPr>
              <w:pStyle w:val="Default"/>
              <w:jc w:val="both"/>
              <w:rPr>
                <w:rFonts w:asciiTheme="majorHAnsi" w:hAnsiTheme="majorHAnsi" w:cstheme="majorHAnsi"/>
                <w:i/>
                <w:iCs/>
                <w:color w:val="002060"/>
                <w:sz w:val="18"/>
                <w:szCs w:val="18"/>
                <w:lang w:val="pt-BR"/>
              </w:rPr>
            </w:pPr>
            <w:r w:rsidRPr="009D6E1A">
              <w:rPr>
                <w:rFonts w:asciiTheme="majorHAnsi" w:hAnsiTheme="majorHAnsi" w:cstheme="majorHAnsi"/>
                <w:i/>
                <w:iCs/>
                <w:color w:val="002060"/>
                <w:sz w:val="18"/>
                <w:szCs w:val="18"/>
                <w:lang w:val="pt-BR"/>
              </w:rPr>
              <w:t>D. Relação temporal: Um ingrediente só pode ser considerado como tendo um efeito causal em função ou estrutura do corpo, ou ainda, na redução de risco de doença, caso esse ingrediente seja administrado antes da observação do efeito em função/estrutura do corpo, ou antes do tempo que a doença teria se desenvolvido.</w:t>
            </w:r>
          </w:p>
          <w:p w14:paraId="6C800A74" w14:textId="77777777" w:rsidR="0091120D" w:rsidRPr="009D6E1A" w:rsidRDefault="0091120D" w:rsidP="009C6562">
            <w:pPr>
              <w:pStyle w:val="Default"/>
              <w:jc w:val="both"/>
              <w:rPr>
                <w:rFonts w:asciiTheme="majorHAnsi" w:hAnsiTheme="majorHAnsi" w:cstheme="majorHAnsi"/>
                <w:i/>
                <w:iCs/>
                <w:color w:val="002060"/>
                <w:sz w:val="18"/>
                <w:szCs w:val="18"/>
                <w:lang w:val="pt-BR"/>
              </w:rPr>
            </w:pPr>
            <w:r w:rsidRPr="009D6E1A">
              <w:rPr>
                <w:rFonts w:asciiTheme="majorHAnsi" w:hAnsiTheme="majorHAnsi" w:cstheme="majorHAnsi"/>
                <w:i/>
                <w:iCs/>
                <w:color w:val="002060"/>
                <w:sz w:val="18"/>
                <w:szCs w:val="18"/>
                <w:lang w:val="pt-BR"/>
              </w:rPr>
              <w:t>E. Ausência de evidências opostas igualmente fortes.</w:t>
            </w:r>
          </w:p>
          <w:p w14:paraId="071DF4C3" w14:textId="77777777" w:rsidR="0091120D" w:rsidRPr="009D6E1A" w:rsidRDefault="0091120D" w:rsidP="009C6562">
            <w:pPr>
              <w:pStyle w:val="Default"/>
              <w:jc w:val="both"/>
              <w:rPr>
                <w:rFonts w:asciiTheme="majorHAnsi" w:hAnsiTheme="majorHAnsi" w:cstheme="majorHAnsi"/>
                <w:i/>
                <w:iCs/>
                <w:color w:val="002060"/>
                <w:sz w:val="18"/>
                <w:szCs w:val="18"/>
                <w:lang w:val="pt-BR"/>
              </w:rPr>
            </w:pPr>
            <w:r w:rsidRPr="009D6E1A">
              <w:rPr>
                <w:rFonts w:asciiTheme="majorHAnsi" w:hAnsiTheme="majorHAnsi" w:cstheme="majorHAnsi"/>
                <w:i/>
                <w:iCs/>
                <w:color w:val="002060"/>
                <w:sz w:val="18"/>
                <w:szCs w:val="18"/>
                <w:lang w:val="pt-BR"/>
              </w:rPr>
              <w:t>Existem critérios adicionais de causalidade. Não é obrigatório que eles sejam atendidos, no entanto, quanto mais critérios adicionais de causalidade forem apresentados, mais forte a evidência. São eles:</w:t>
            </w:r>
          </w:p>
          <w:p w14:paraId="2343909E" w14:textId="77777777" w:rsidR="0091120D" w:rsidRPr="009D6E1A" w:rsidRDefault="0091120D" w:rsidP="009C6562">
            <w:pPr>
              <w:pStyle w:val="Default"/>
              <w:jc w:val="both"/>
              <w:rPr>
                <w:rFonts w:asciiTheme="majorHAnsi" w:hAnsiTheme="majorHAnsi" w:cstheme="majorHAnsi"/>
                <w:i/>
                <w:iCs/>
                <w:color w:val="002060"/>
                <w:sz w:val="18"/>
                <w:szCs w:val="18"/>
                <w:lang w:val="pt-BR"/>
              </w:rPr>
            </w:pPr>
            <w:r w:rsidRPr="009D6E1A">
              <w:rPr>
                <w:rFonts w:asciiTheme="majorHAnsi" w:hAnsiTheme="majorHAnsi" w:cstheme="majorHAnsi"/>
                <w:i/>
                <w:iCs/>
                <w:color w:val="002060"/>
                <w:sz w:val="18"/>
                <w:szCs w:val="18"/>
                <w:lang w:val="pt-BR"/>
              </w:rPr>
              <w:t>F. Relações dose-resposta: Se um agente é benéfico ou se um fator é de fato a causa de uma doença, geralmente (mas não invariavelmente) quanto maior a dose do agente ou a exposição, maior o efeito benéfico ou risco da doença. Essa relação dose-resposta nem sempre pode ser evidenciada porque muitas relações biológicas importantes são dicotômicas e possuem um nível de limiar para os efeitos observados.</w:t>
            </w:r>
          </w:p>
          <w:p w14:paraId="720FC494" w14:textId="77777777" w:rsidR="0091120D" w:rsidRPr="009D6E1A" w:rsidRDefault="0091120D" w:rsidP="009C6562">
            <w:pPr>
              <w:pStyle w:val="Default"/>
              <w:jc w:val="both"/>
              <w:rPr>
                <w:rFonts w:asciiTheme="majorHAnsi" w:hAnsiTheme="majorHAnsi" w:cstheme="majorHAnsi"/>
                <w:i/>
                <w:iCs/>
                <w:color w:val="002060"/>
                <w:sz w:val="18"/>
                <w:szCs w:val="18"/>
                <w:lang w:val="pt-BR"/>
              </w:rPr>
            </w:pPr>
            <w:r w:rsidRPr="009D6E1A">
              <w:rPr>
                <w:rFonts w:asciiTheme="majorHAnsi" w:hAnsiTheme="majorHAnsi" w:cstheme="majorHAnsi"/>
                <w:i/>
                <w:iCs/>
                <w:color w:val="002060"/>
                <w:sz w:val="18"/>
                <w:szCs w:val="18"/>
                <w:lang w:val="pt-BR"/>
              </w:rPr>
              <w:t xml:space="preserve">G. Reversão ou cessação dos efeitos: Se um agente tem um efeito benéfico, então o agente deve reverter um fator de risco ou condição adversa (se prevenir a ocorrência do fator de risco ou </w:t>
            </w:r>
            <w:r w:rsidRPr="009D6E1A">
              <w:rPr>
                <w:rFonts w:asciiTheme="majorHAnsi" w:hAnsiTheme="majorHAnsi" w:cstheme="majorHAnsi"/>
                <w:i/>
                <w:iCs/>
                <w:color w:val="002060"/>
                <w:sz w:val="18"/>
                <w:szCs w:val="18"/>
                <w:lang w:val="pt-BR"/>
              </w:rPr>
              <w:lastRenderedPageBreak/>
              <w:t>condição adversa não pode ser mostrada em humanos por razões éticas). Da mesma forma, se um agente tem um efeito benéfico, então espera-se que o benefício cesse quando for removido de uma população (a menos que haja um efeito de transição).</w:t>
            </w:r>
          </w:p>
          <w:p w14:paraId="61F55108" w14:textId="77777777" w:rsidR="0091120D" w:rsidRPr="009D6E1A" w:rsidRDefault="0091120D" w:rsidP="009C6562">
            <w:pPr>
              <w:pStyle w:val="Default"/>
              <w:jc w:val="both"/>
              <w:rPr>
                <w:rFonts w:asciiTheme="majorHAnsi" w:hAnsiTheme="majorHAnsi" w:cstheme="majorHAnsi"/>
                <w:i/>
                <w:iCs/>
                <w:color w:val="002060"/>
                <w:sz w:val="18"/>
                <w:szCs w:val="18"/>
                <w:lang w:val="pt-BR"/>
              </w:rPr>
            </w:pPr>
            <w:r w:rsidRPr="009D6E1A">
              <w:rPr>
                <w:rFonts w:asciiTheme="majorHAnsi" w:hAnsiTheme="majorHAnsi" w:cstheme="majorHAnsi"/>
                <w:i/>
                <w:iCs/>
                <w:color w:val="002060"/>
                <w:sz w:val="18"/>
                <w:szCs w:val="18"/>
                <w:lang w:val="pt-BR"/>
              </w:rPr>
              <w:t>H. Plausibilidade biológica: Um mecanismo biologicamente plausível deve ser capaz de explicar por que tal efeito seria esperado que ocorresse.</w:t>
            </w:r>
          </w:p>
          <w:p w14:paraId="1B329612" w14:textId="77777777" w:rsidR="0091120D" w:rsidRPr="009D6E1A" w:rsidRDefault="0091120D" w:rsidP="009C6562">
            <w:pPr>
              <w:pStyle w:val="Default"/>
              <w:jc w:val="both"/>
              <w:rPr>
                <w:rFonts w:asciiTheme="majorHAnsi" w:hAnsiTheme="majorHAnsi" w:cstheme="majorHAnsi"/>
                <w:i/>
                <w:iCs/>
                <w:color w:val="002060"/>
                <w:sz w:val="18"/>
                <w:szCs w:val="18"/>
                <w:lang w:val="pt-BR"/>
              </w:rPr>
            </w:pPr>
            <w:r w:rsidRPr="009D6E1A">
              <w:rPr>
                <w:rFonts w:asciiTheme="majorHAnsi" w:hAnsiTheme="majorHAnsi" w:cstheme="majorHAnsi"/>
                <w:i/>
                <w:iCs/>
                <w:color w:val="002060"/>
                <w:sz w:val="18"/>
                <w:szCs w:val="18"/>
                <w:lang w:val="pt-BR"/>
              </w:rPr>
              <w:t>I. Explicações alternativas (</w:t>
            </w:r>
            <w:proofErr w:type="spellStart"/>
            <w:r w:rsidRPr="009D6E1A">
              <w:rPr>
                <w:rFonts w:asciiTheme="majorHAnsi" w:hAnsiTheme="majorHAnsi" w:cstheme="majorHAnsi"/>
                <w:i/>
                <w:iCs/>
                <w:color w:val="002060"/>
                <w:sz w:val="18"/>
                <w:szCs w:val="18"/>
                <w:lang w:val="pt-BR"/>
              </w:rPr>
              <w:t>confundimento</w:t>
            </w:r>
            <w:proofErr w:type="spellEnd"/>
            <w:r w:rsidRPr="009D6E1A">
              <w:rPr>
                <w:rFonts w:asciiTheme="majorHAnsi" w:hAnsiTheme="majorHAnsi" w:cstheme="majorHAnsi"/>
                <w:i/>
                <w:iCs/>
                <w:color w:val="002060"/>
                <w:sz w:val="18"/>
                <w:szCs w:val="18"/>
                <w:lang w:val="pt-BR"/>
              </w:rPr>
              <w:t>): Até que ponto as explicações alternativas (devido a confusão não controlada ou outros requisitos metodológicos) foram explorados é um critério importante para julgar causalidade.</w:t>
            </w:r>
          </w:p>
          <w:p w14:paraId="7EB3F52B" w14:textId="77777777" w:rsidR="0091120D" w:rsidRPr="009D6E1A" w:rsidRDefault="0091120D" w:rsidP="009C6562">
            <w:pPr>
              <w:pStyle w:val="Default"/>
              <w:jc w:val="both"/>
              <w:rPr>
                <w:rFonts w:asciiTheme="majorHAnsi" w:hAnsiTheme="majorHAnsi" w:cstheme="majorHAnsi"/>
                <w:i/>
                <w:iCs/>
                <w:color w:val="002060"/>
                <w:sz w:val="18"/>
                <w:szCs w:val="18"/>
                <w:lang w:val="pt-BR"/>
              </w:rPr>
            </w:pPr>
            <w:r w:rsidRPr="009D6E1A">
              <w:rPr>
                <w:rFonts w:asciiTheme="majorHAnsi" w:hAnsiTheme="majorHAnsi" w:cstheme="majorHAnsi"/>
                <w:i/>
                <w:iCs/>
                <w:color w:val="002060"/>
                <w:sz w:val="18"/>
                <w:szCs w:val="18"/>
                <w:lang w:val="pt-BR"/>
              </w:rPr>
              <w:t>J. Especificidade do efeito: até que ponto a precisão da associação entre a exposição e o agente podem ser demonstrados – A ingestão do probiótico leva apenas ao benefício X?</w:t>
            </w:r>
          </w:p>
          <w:p w14:paraId="58D18182" w14:textId="77777777" w:rsidR="0091120D" w:rsidRPr="009D6E1A" w:rsidRDefault="0091120D" w:rsidP="009C6562">
            <w:pPr>
              <w:pStyle w:val="Default"/>
              <w:jc w:val="both"/>
              <w:rPr>
                <w:rFonts w:asciiTheme="majorHAnsi" w:hAnsiTheme="majorHAnsi" w:cstheme="majorHAnsi"/>
                <w:i/>
                <w:iCs/>
                <w:color w:val="002060"/>
                <w:sz w:val="18"/>
                <w:szCs w:val="18"/>
                <w:lang w:val="pt-BR"/>
              </w:rPr>
            </w:pPr>
            <w:r w:rsidRPr="009D6E1A">
              <w:rPr>
                <w:rFonts w:asciiTheme="majorHAnsi" w:hAnsiTheme="majorHAnsi" w:cstheme="majorHAnsi"/>
                <w:i/>
                <w:iCs/>
                <w:color w:val="002060"/>
                <w:sz w:val="18"/>
                <w:szCs w:val="18"/>
                <w:lang w:val="pt-BR"/>
              </w:rPr>
              <w:t>K. Especificidade da causa: Somente a ingestão do probiótico leva ao benefício X?</w:t>
            </w:r>
          </w:p>
          <w:p w14:paraId="7862410C" w14:textId="77777777" w:rsidR="0091120D" w:rsidRPr="009D6E1A" w:rsidRDefault="0091120D" w:rsidP="009C6562">
            <w:pPr>
              <w:pStyle w:val="Default"/>
              <w:jc w:val="both"/>
              <w:rPr>
                <w:rFonts w:asciiTheme="majorHAnsi" w:hAnsiTheme="majorHAnsi" w:cstheme="majorHAnsi"/>
                <w:i/>
                <w:iCs/>
                <w:color w:val="002060"/>
                <w:sz w:val="18"/>
                <w:szCs w:val="18"/>
                <w:lang w:val="pt-BR"/>
              </w:rPr>
            </w:pPr>
            <w:r w:rsidRPr="009D6E1A">
              <w:rPr>
                <w:rFonts w:asciiTheme="majorHAnsi" w:hAnsiTheme="majorHAnsi" w:cstheme="majorHAnsi"/>
                <w:i/>
                <w:iCs/>
                <w:color w:val="002060"/>
                <w:sz w:val="18"/>
                <w:szCs w:val="18"/>
                <w:lang w:val="pt-BR"/>
              </w:rPr>
              <w:t>L. Coerência: O efeito é visto em uma variedade de desfechos relacionados como seria de esperar?</w:t>
            </w:r>
          </w:p>
          <w:p w14:paraId="6C666DFB" w14:textId="77777777" w:rsidR="0091120D" w:rsidRPr="009D6E1A" w:rsidRDefault="0091120D" w:rsidP="009C6562">
            <w:pPr>
              <w:pStyle w:val="Default"/>
              <w:jc w:val="both"/>
              <w:rPr>
                <w:rFonts w:asciiTheme="majorHAnsi" w:hAnsiTheme="majorHAnsi" w:cstheme="majorHAnsi"/>
                <w:i/>
                <w:iCs/>
                <w:color w:val="002060"/>
                <w:sz w:val="18"/>
                <w:szCs w:val="18"/>
                <w:lang w:val="pt-BR"/>
              </w:rPr>
            </w:pPr>
            <w:r w:rsidRPr="009D6E1A">
              <w:rPr>
                <w:rFonts w:asciiTheme="majorHAnsi" w:hAnsiTheme="majorHAnsi" w:cstheme="majorHAnsi"/>
                <w:i/>
                <w:iCs/>
                <w:color w:val="002060"/>
                <w:sz w:val="18"/>
                <w:szCs w:val="18"/>
                <w:lang w:val="pt-BR"/>
              </w:rPr>
              <w:t xml:space="preserve">Para a sustentação de um efeito benéfico de caráter geral é necessário observar que a evidência seja consistente, e a força da associação receba menor criticidade, não podendo ser baixa. No que tange à comprovação de alegação de saúde, se a consistência relacionada à redução do risco (CR 1 e CR 4) for </w:t>
            </w:r>
            <w:proofErr w:type="gramStart"/>
            <w:r w:rsidRPr="009D6E1A">
              <w:rPr>
                <w:rFonts w:asciiTheme="majorHAnsi" w:hAnsiTheme="majorHAnsi" w:cstheme="majorHAnsi"/>
                <w:i/>
                <w:iCs/>
                <w:color w:val="002060"/>
                <w:sz w:val="18"/>
                <w:szCs w:val="18"/>
                <w:lang w:val="pt-BR"/>
              </w:rPr>
              <w:t>baixa</w:t>
            </w:r>
            <w:proofErr w:type="gramEnd"/>
            <w:r w:rsidRPr="009D6E1A">
              <w:rPr>
                <w:rFonts w:asciiTheme="majorHAnsi" w:hAnsiTheme="majorHAnsi" w:cstheme="majorHAnsi"/>
                <w:i/>
                <w:iCs/>
                <w:color w:val="002060"/>
                <w:sz w:val="18"/>
                <w:szCs w:val="18"/>
                <w:lang w:val="pt-BR"/>
              </w:rPr>
              <w:t xml:space="preserve"> ou se a consistência relacionada ao aumento de risco ou ausência de efeito for alta ou moderada (CR 2 e CR 3), não há comprovação do benefício.</w:t>
            </w:r>
          </w:p>
          <w:p w14:paraId="30962381" w14:textId="77777777" w:rsidR="0091120D" w:rsidRPr="009D6E1A" w:rsidRDefault="0091120D" w:rsidP="009C6562">
            <w:pPr>
              <w:pStyle w:val="Default"/>
              <w:jc w:val="both"/>
              <w:rPr>
                <w:rFonts w:asciiTheme="majorHAnsi" w:hAnsiTheme="majorHAnsi" w:cstheme="majorHAnsi"/>
                <w:color w:val="002060"/>
                <w:sz w:val="18"/>
                <w:szCs w:val="18"/>
                <w:lang w:val="pt-BR"/>
              </w:rPr>
            </w:pPr>
            <w:r w:rsidRPr="009D6E1A">
              <w:rPr>
                <w:rFonts w:asciiTheme="majorHAnsi" w:hAnsiTheme="majorHAnsi" w:cstheme="majorHAnsi"/>
                <w:color w:val="002060"/>
                <w:sz w:val="18"/>
                <w:szCs w:val="18"/>
                <w:lang w:val="pt-BR"/>
              </w:rPr>
              <w:t>F</w:t>
            </w:r>
            <w:r w:rsidRPr="009D6E1A">
              <w:rPr>
                <w:rFonts w:asciiTheme="majorHAnsi" w:hAnsiTheme="majorHAnsi" w:cstheme="majorHAnsi"/>
                <w:i/>
                <w:color w:val="002060"/>
                <w:sz w:val="18"/>
                <w:szCs w:val="18"/>
                <w:lang w:val="pt-BR"/>
              </w:rPr>
              <w:t xml:space="preserve">inalmente, a peticionante deve apresentar uma conclusão para o dossiê e a proposta de alegação. Para tanto, deve ser apresentado o racional, com base nas evidências apresentadas (e os fatores que diminuem ou aumentam a confiança nesses resultados), e a ponderação sobre os domínios, de modo a comprovar a alegação pretendida. A peticionante deve considerar primeiramente se os critérios essenciais de causalidade foram atendidos. A alegação de propriedade funcional e/ou saúde deve ser proposta considerando os resultados dos estudos incluídos e os fatores que diminuem ou aumentam a confiança nesses resultados. São eles: consistência, associação, vieses dos estudos, desfechos avaliados, população dos estudos (viabilidade de generalizar os resultados </w:t>
            </w:r>
            <w:r w:rsidRPr="009D6E1A">
              <w:rPr>
                <w:rFonts w:asciiTheme="majorHAnsi" w:hAnsiTheme="majorHAnsi" w:cstheme="majorHAnsi"/>
                <w:i/>
                <w:color w:val="002060"/>
                <w:sz w:val="18"/>
                <w:szCs w:val="18"/>
                <w:lang w:val="pt-BR"/>
              </w:rPr>
              <w:lastRenderedPageBreak/>
              <w:t>encontrados nos estudos favoráveis, para a população alvo, observando se a população alvo está representada nos estudos), tamanho final da amostra, doses testadas, resultados (incidência dos desfechos de interesse e razões de risco aplicáveis - taxa de risco, risco relativo, IC 95%, p valor) e magnitude do efeito (diferença numérica e percentual entre o grupo placebo/controle e o grupo intervenção)”</w:t>
            </w:r>
          </w:p>
        </w:tc>
        <w:tc>
          <w:tcPr>
            <w:tcW w:w="4678" w:type="dxa"/>
          </w:tcPr>
          <w:p w14:paraId="0ADCE64E" w14:textId="77777777" w:rsidR="0091120D" w:rsidRPr="009D6E1A" w:rsidRDefault="0091120D" w:rsidP="009C6562">
            <w:pPr>
              <w:pStyle w:val="Default"/>
              <w:jc w:val="both"/>
              <w:rPr>
                <w:rFonts w:asciiTheme="majorHAnsi" w:hAnsiTheme="majorHAnsi" w:cstheme="majorHAnsi"/>
                <w:sz w:val="18"/>
                <w:szCs w:val="18"/>
                <w:lang w:val="pt-BR"/>
              </w:rPr>
            </w:pPr>
            <w:r w:rsidRPr="009D6E1A">
              <w:rPr>
                <w:rFonts w:asciiTheme="majorHAnsi" w:hAnsiTheme="majorHAnsi" w:cstheme="majorHAnsi"/>
                <w:sz w:val="18"/>
                <w:szCs w:val="18"/>
                <w:lang w:val="pt-BR"/>
              </w:rPr>
              <w:lastRenderedPageBreak/>
              <w:t xml:space="preserve">A nova redação traz maior delineamento dos parâmetros e domínios que devem ser considerados para a conclusão relacionada ao consumo do probiótico e o benefício esperado, </w:t>
            </w:r>
            <w:r w:rsidRPr="009D6E1A">
              <w:rPr>
                <w:rFonts w:asciiTheme="majorHAnsi" w:hAnsiTheme="majorHAnsi" w:cstheme="majorHAnsi"/>
                <w:b/>
                <w:sz w:val="18"/>
                <w:szCs w:val="18"/>
                <w:lang w:val="pt-BR"/>
              </w:rPr>
              <w:t>incluindo parâmetros que não foram previamente apresentados ao setor.</w:t>
            </w:r>
            <w:r w:rsidRPr="009D6E1A">
              <w:rPr>
                <w:rFonts w:asciiTheme="majorHAnsi" w:hAnsiTheme="majorHAnsi" w:cstheme="majorHAnsi"/>
                <w:sz w:val="18"/>
                <w:szCs w:val="18"/>
                <w:lang w:val="pt-BR"/>
              </w:rPr>
              <w:t xml:space="preserve"> Nota-se que a “Conclusão” final, embora englobe racional dos domínios (associação e consistência) já apresentados na versão anterior do Guia, inclui parâmetros</w:t>
            </w:r>
            <w:r w:rsidR="0034163E" w:rsidRPr="009D6E1A">
              <w:rPr>
                <w:rFonts w:asciiTheme="majorHAnsi" w:hAnsiTheme="majorHAnsi" w:cstheme="majorHAnsi"/>
                <w:sz w:val="18"/>
                <w:szCs w:val="18"/>
                <w:lang w:val="pt-BR"/>
              </w:rPr>
              <w:t xml:space="preserve"> adicionais</w:t>
            </w:r>
            <w:r w:rsidRPr="009D6E1A">
              <w:rPr>
                <w:rFonts w:asciiTheme="majorHAnsi" w:hAnsiTheme="majorHAnsi" w:cstheme="majorHAnsi"/>
                <w:sz w:val="18"/>
                <w:szCs w:val="18"/>
                <w:lang w:val="pt-BR"/>
              </w:rPr>
              <w:t xml:space="preserve"> a serem computados, tornando a análise mais detalhada e específica</w:t>
            </w:r>
            <w:r w:rsidR="0034163E" w:rsidRPr="009D6E1A">
              <w:rPr>
                <w:rFonts w:asciiTheme="majorHAnsi" w:hAnsiTheme="majorHAnsi" w:cstheme="majorHAnsi"/>
                <w:sz w:val="18"/>
                <w:szCs w:val="18"/>
                <w:lang w:val="pt-BR"/>
              </w:rPr>
              <w:t>, o</w:t>
            </w:r>
            <w:r w:rsidRPr="009D6E1A">
              <w:rPr>
                <w:rFonts w:asciiTheme="majorHAnsi" w:hAnsiTheme="majorHAnsi" w:cstheme="majorHAnsi"/>
                <w:sz w:val="18"/>
                <w:szCs w:val="18"/>
                <w:lang w:val="pt-BR"/>
              </w:rPr>
              <w:t xml:space="preserve"> que pode não ser favorável dependendo do nível de evidência que se tem disponível.</w:t>
            </w:r>
          </w:p>
          <w:p w14:paraId="577BFB07" w14:textId="77777777" w:rsidR="0091120D" w:rsidRPr="009D6E1A" w:rsidRDefault="0091120D" w:rsidP="009C6562">
            <w:pPr>
              <w:pStyle w:val="Default"/>
              <w:jc w:val="both"/>
              <w:rPr>
                <w:rFonts w:asciiTheme="majorHAnsi" w:hAnsiTheme="majorHAnsi" w:cstheme="majorHAnsi"/>
                <w:sz w:val="18"/>
                <w:szCs w:val="18"/>
                <w:lang w:val="pt-BR"/>
              </w:rPr>
            </w:pPr>
            <w:r w:rsidRPr="009D6E1A">
              <w:rPr>
                <w:rFonts w:asciiTheme="majorHAnsi" w:hAnsiTheme="majorHAnsi" w:cstheme="majorHAnsi"/>
                <w:sz w:val="18"/>
                <w:szCs w:val="18"/>
                <w:lang w:val="pt-BR"/>
              </w:rPr>
              <w:lastRenderedPageBreak/>
              <w:t>Embora a ANVISA ressalte que estudos únicos raramente são definitivos, alguns processos aprovados contaram com apenas um estudo. Entendemos ainda que a estratificação de desfechos, que passa a ser adotada, pode favorecer estudo único que tenha esse tipo de desenho com resultados positivos.</w:t>
            </w:r>
          </w:p>
          <w:p w14:paraId="4A5A1A54" w14:textId="77777777" w:rsidR="0091120D" w:rsidRPr="009D6E1A" w:rsidRDefault="0091120D" w:rsidP="009C6562">
            <w:pPr>
              <w:pStyle w:val="Default"/>
              <w:jc w:val="both"/>
              <w:rPr>
                <w:rFonts w:asciiTheme="majorHAnsi" w:hAnsiTheme="majorHAnsi" w:cstheme="majorHAnsi"/>
                <w:sz w:val="18"/>
                <w:szCs w:val="18"/>
                <w:lang w:val="pt-BR"/>
              </w:rPr>
            </w:pPr>
          </w:p>
        </w:tc>
      </w:tr>
    </w:tbl>
    <w:p w14:paraId="049DFD9B" w14:textId="77777777" w:rsidR="00AE634E" w:rsidRDefault="00AE634E" w:rsidP="001F71A9">
      <w:pPr>
        <w:rPr>
          <w:rFonts w:asciiTheme="majorHAnsi" w:hAnsiTheme="majorHAnsi" w:cstheme="majorHAnsi"/>
          <w:lang w:val="pt-BR"/>
        </w:rPr>
      </w:pPr>
    </w:p>
    <w:p w14:paraId="04E73C22" w14:textId="77777777" w:rsidR="009C6562" w:rsidRDefault="009C6562" w:rsidP="001F71A9">
      <w:pPr>
        <w:rPr>
          <w:rFonts w:asciiTheme="majorHAnsi" w:hAnsiTheme="majorHAnsi" w:cstheme="majorHAnsi"/>
          <w:lang w:val="pt-BR"/>
        </w:rPr>
        <w:sectPr w:rsidR="009C6562" w:rsidSect="007B3C98">
          <w:pgSz w:w="15840" w:h="12240" w:orient="landscape"/>
          <w:pgMar w:top="1440" w:right="1440" w:bottom="1440" w:left="1440" w:header="720" w:footer="720" w:gutter="0"/>
          <w:cols w:space="720"/>
          <w:docGrid w:linePitch="360"/>
        </w:sectPr>
      </w:pPr>
    </w:p>
    <w:p w14:paraId="4D72F713" w14:textId="3A3B02CD" w:rsidR="009C6562" w:rsidRPr="009D6E1A" w:rsidRDefault="009C6562" w:rsidP="001F71A9">
      <w:pPr>
        <w:rPr>
          <w:rFonts w:asciiTheme="majorHAnsi" w:hAnsiTheme="majorHAnsi" w:cstheme="majorHAnsi"/>
          <w:lang w:val="pt-BR"/>
        </w:rPr>
      </w:pPr>
    </w:p>
    <w:p w14:paraId="3C16E3F9" w14:textId="29ECAA82" w:rsidR="00C74A0B" w:rsidRPr="009D6E1A" w:rsidRDefault="00CC3C4D" w:rsidP="005B6E36">
      <w:pPr>
        <w:jc w:val="both"/>
        <w:rPr>
          <w:rFonts w:asciiTheme="majorHAnsi" w:hAnsiTheme="majorHAnsi" w:cstheme="majorHAnsi"/>
          <w:lang w:val="pt-BR"/>
        </w:rPr>
      </w:pPr>
      <w:r w:rsidRPr="009D6E1A">
        <w:rPr>
          <w:rFonts w:asciiTheme="majorHAnsi" w:hAnsiTheme="majorHAnsi" w:cstheme="majorHAnsi"/>
          <w:lang w:val="pt-BR"/>
        </w:rPr>
        <w:t xml:space="preserve">Embora a nova versão do Guia apresente detalhes que trazem </w:t>
      </w:r>
      <w:r w:rsidR="00C74A0B" w:rsidRPr="009D6E1A">
        <w:rPr>
          <w:rFonts w:asciiTheme="majorHAnsi" w:hAnsiTheme="majorHAnsi" w:cstheme="majorHAnsi"/>
          <w:lang w:val="pt-BR"/>
        </w:rPr>
        <w:t>maior clareza em relação ao que a ANVISA espera receber como evidência de comprovação de eficácia, ela traz também entendimentos distintos dos anteriormente adotados pela Agência, o que traz insegurança jurídica ao setor. Um exemplo disso é o fato de que indeferimentos de alegações gerais relacionadas a</w:t>
      </w:r>
      <w:r w:rsidR="00671A0E">
        <w:rPr>
          <w:rFonts w:asciiTheme="majorHAnsi" w:hAnsiTheme="majorHAnsi" w:cstheme="majorHAnsi"/>
          <w:lang w:val="pt-BR"/>
        </w:rPr>
        <w:t>o</w:t>
      </w:r>
      <w:r w:rsidR="00C74A0B" w:rsidRPr="009D6E1A">
        <w:rPr>
          <w:rFonts w:asciiTheme="majorHAnsi" w:hAnsiTheme="majorHAnsi" w:cstheme="majorHAnsi"/>
          <w:lang w:val="pt-BR"/>
        </w:rPr>
        <w:t xml:space="preserve"> si</w:t>
      </w:r>
      <w:r w:rsidR="00671A0E">
        <w:rPr>
          <w:rFonts w:asciiTheme="majorHAnsi" w:hAnsiTheme="majorHAnsi" w:cstheme="majorHAnsi"/>
          <w:lang w:val="pt-BR"/>
        </w:rPr>
        <w:t>s</w:t>
      </w:r>
      <w:r w:rsidR="00C74A0B" w:rsidRPr="009D6E1A">
        <w:rPr>
          <w:rFonts w:asciiTheme="majorHAnsi" w:hAnsiTheme="majorHAnsi" w:cstheme="majorHAnsi"/>
          <w:lang w:val="pt-BR"/>
        </w:rPr>
        <w:t>tema imune ocorreram antes da publicação dessa nova versão do Guia, ocasião em que havia um entendimento por parte do setor de que essas alegações seriam possíveis.</w:t>
      </w:r>
    </w:p>
    <w:p w14:paraId="553497EE" w14:textId="77777777" w:rsidR="00B73E3D" w:rsidRPr="009D6E1A" w:rsidRDefault="00C74A0B" w:rsidP="005B6E36">
      <w:pPr>
        <w:jc w:val="both"/>
        <w:rPr>
          <w:rFonts w:asciiTheme="majorHAnsi" w:hAnsiTheme="majorHAnsi" w:cstheme="majorHAnsi"/>
          <w:lang w:val="pt-BR"/>
        </w:rPr>
      </w:pPr>
      <w:r w:rsidRPr="009D6E1A">
        <w:rPr>
          <w:rFonts w:asciiTheme="majorHAnsi" w:hAnsiTheme="majorHAnsi" w:cstheme="majorHAnsi"/>
          <w:lang w:val="pt-BR"/>
        </w:rPr>
        <w:t>Nota-se também um elevado rigor em relação</w:t>
      </w:r>
      <w:r w:rsidR="001E2852" w:rsidRPr="009D6E1A">
        <w:rPr>
          <w:rFonts w:asciiTheme="majorHAnsi" w:hAnsiTheme="majorHAnsi" w:cstheme="majorHAnsi"/>
          <w:lang w:val="pt-BR"/>
        </w:rPr>
        <w:t xml:space="preserve"> a avaliação d</w:t>
      </w:r>
      <w:r w:rsidRPr="009D6E1A">
        <w:rPr>
          <w:rFonts w:asciiTheme="majorHAnsi" w:hAnsiTheme="majorHAnsi" w:cstheme="majorHAnsi"/>
          <w:lang w:val="pt-BR"/>
        </w:rPr>
        <w:t>os estudos científicos apresentados, que, embora atinjam pontuação de qualificação de acordo com a ferramenta adotada pelo Guia</w:t>
      </w:r>
      <w:r w:rsidR="001E2852" w:rsidRPr="009D6E1A">
        <w:rPr>
          <w:rFonts w:asciiTheme="majorHAnsi" w:hAnsiTheme="majorHAnsi" w:cstheme="majorHAnsi"/>
          <w:lang w:val="pt-BR"/>
        </w:rPr>
        <w:t xml:space="preserve"> e demonstrem um benefício clínico advindo do consumo de probióticos</w:t>
      </w:r>
      <w:r w:rsidRPr="009D6E1A">
        <w:rPr>
          <w:rFonts w:asciiTheme="majorHAnsi" w:hAnsiTheme="majorHAnsi" w:cstheme="majorHAnsi"/>
          <w:lang w:val="pt-BR"/>
        </w:rPr>
        <w:t>, são desqualificados pela área técnica da ANVISA</w:t>
      </w:r>
      <w:r w:rsidR="001E2852" w:rsidRPr="009D6E1A">
        <w:rPr>
          <w:rFonts w:asciiTheme="majorHAnsi" w:hAnsiTheme="majorHAnsi" w:cstheme="majorHAnsi"/>
          <w:lang w:val="pt-BR"/>
        </w:rPr>
        <w:t xml:space="preserve"> em situações, por exemplo, </w:t>
      </w:r>
      <w:r w:rsidR="00B320E5" w:rsidRPr="009D6E1A">
        <w:rPr>
          <w:rFonts w:asciiTheme="majorHAnsi" w:hAnsiTheme="majorHAnsi" w:cstheme="majorHAnsi"/>
          <w:lang w:val="pt-BR"/>
        </w:rPr>
        <w:t xml:space="preserve">donde deixam de cumprir com algum quesito específico (uso de questionários validados) ou </w:t>
      </w:r>
      <w:r w:rsidR="001E2852" w:rsidRPr="009D6E1A">
        <w:rPr>
          <w:rFonts w:asciiTheme="majorHAnsi" w:hAnsiTheme="majorHAnsi" w:cstheme="majorHAnsi"/>
          <w:lang w:val="pt-BR"/>
        </w:rPr>
        <w:t xml:space="preserve">não seja possível demonstrar o mecanismo de ação das cepas. Segundo a RDC 241/18, </w:t>
      </w:r>
      <w:r w:rsidR="001E2852" w:rsidRPr="009D6E1A">
        <w:rPr>
          <w:rFonts w:asciiTheme="majorHAnsi" w:hAnsiTheme="majorHAnsi" w:cstheme="majorHAnsi"/>
          <w:i/>
          <w:lang w:val="pt-BR"/>
        </w:rPr>
        <w:t>podem ser apresentados outros tipos de estudos e referências que ajudem a explicar a plausibilidade biológica do efeito alegado</w:t>
      </w:r>
      <w:r w:rsidR="001E2852" w:rsidRPr="009D6E1A">
        <w:rPr>
          <w:rFonts w:asciiTheme="majorHAnsi" w:hAnsiTheme="majorHAnsi" w:cstheme="majorHAnsi"/>
          <w:lang w:val="pt-BR"/>
        </w:rPr>
        <w:t>. Dessa forma, o setor entende que essa informação não é obrigatória.</w:t>
      </w:r>
    </w:p>
    <w:p w14:paraId="5DB56272" w14:textId="3D4017D5" w:rsidR="00905267" w:rsidRPr="009D6E1A" w:rsidRDefault="00905267" w:rsidP="005B6E36">
      <w:pPr>
        <w:jc w:val="both"/>
        <w:rPr>
          <w:rFonts w:asciiTheme="majorHAnsi" w:hAnsiTheme="majorHAnsi" w:cstheme="majorHAnsi"/>
          <w:i/>
          <w:color w:val="000000" w:themeColor="text1"/>
          <w:lang w:val="pt-BR"/>
        </w:rPr>
      </w:pPr>
      <w:r w:rsidRPr="009D6E1A">
        <w:rPr>
          <w:rFonts w:asciiTheme="majorHAnsi" w:hAnsiTheme="majorHAnsi" w:cstheme="majorHAnsi"/>
          <w:color w:val="000000" w:themeColor="text1"/>
          <w:lang w:val="pt-BR"/>
        </w:rPr>
        <w:t xml:space="preserve">Desde 2020, </w:t>
      </w:r>
      <w:r w:rsidR="00744E51" w:rsidRPr="009D6E1A">
        <w:rPr>
          <w:rFonts w:asciiTheme="majorHAnsi" w:hAnsiTheme="majorHAnsi" w:cstheme="majorHAnsi"/>
          <w:color w:val="000000" w:themeColor="text1"/>
          <w:lang w:val="pt-BR"/>
        </w:rPr>
        <w:t>Exigências têm sido formuladas apresentando critérios estabelecidos pela EFSA</w:t>
      </w:r>
      <w:r w:rsidRPr="009D6E1A">
        <w:rPr>
          <w:rFonts w:asciiTheme="majorHAnsi" w:hAnsiTheme="majorHAnsi" w:cstheme="majorHAnsi"/>
          <w:color w:val="000000" w:themeColor="text1"/>
          <w:lang w:val="pt-BR"/>
        </w:rPr>
        <w:t xml:space="preserve"> como requeridos para a comprovação de eficácia: </w:t>
      </w:r>
      <w:r w:rsidRPr="009D6E1A">
        <w:rPr>
          <w:rFonts w:asciiTheme="majorHAnsi" w:hAnsiTheme="majorHAnsi" w:cstheme="majorHAnsi"/>
          <w:i/>
          <w:color w:val="000000" w:themeColor="text1"/>
          <w:lang w:val="pt-BR"/>
        </w:rPr>
        <w:t>De acordo com os critérios adotados por esta Gerência que têm por base o documento EFSA disponível em https://www.efsa.europa.eu/en/efsajournal/pub/4369, alegações direcionadas à melhora e manutenção do sistema imune que não são baseadas na essencialidade do nutriente</w:t>
      </w:r>
      <w:r w:rsidR="00840F45">
        <w:rPr>
          <w:rFonts w:asciiTheme="majorHAnsi" w:hAnsiTheme="majorHAnsi" w:cstheme="majorHAnsi"/>
          <w:i/>
          <w:color w:val="000000" w:themeColor="text1"/>
          <w:lang w:val="pt-BR"/>
        </w:rPr>
        <w:t>,</w:t>
      </w:r>
      <w:r w:rsidRPr="009D6E1A">
        <w:rPr>
          <w:rFonts w:asciiTheme="majorHAnsi" w:hAnsiTheme="majorHAnsi" w:cstheme="majorHAnsi"/>
          <w:i/>
          <w:color w:val="000000" w:themeColor="text1"/>
          <w:lang w:val="pt-BR"/>
        </w:rPr>
        <w:t xml:space="preserve"> não são suficientemente definidas para uma avaliação científica.</w:t>
      </w:r>
    </w:p>
    <w:p w14:paraId="128E9937" w14:textId="77777777" w:rsidR="00F84E98" w:rsidRPr="009D6E1A" w:rsidRDefault="00905267" w:rsidP="005B6E36">
      <w:pPr>
        <w:jc w:val="both"/>
        <w:rPr>
          <w:rFonts w:asciiTheme="majorHAnsi" w:hAnsiTheme="majorHAnsi" w:cstheme="majorHAnsi"/>
          <w:lang w:val="pt-BR"/>
        </w:rPr>
      </w:pPr>
      <w:r w:rsidRPr="009D6E1A">
        <w:rPr>
          <w:rFonts w:asciiTheme="majorHAnsi" w:hAnsiTheme="majorHAnsi" w:cstheme="majorHAnsi"/>
          <w:lang w:val="pt-BR"/>
        </w:rPr>
        <w:t xml:space="preserve">Cabe mencionar que </w:t>
      </w:r>
      <w:r w:rsidR="00005796" w:rsidRPr="009D6E1A">
        <w:rPr>
          <w:rFonts w:asciiTheme="majorHAnsi" w:hAnsiTheme="majorHAnsi" w:cstheme="majorHAnsi"/>
          <w:lang w:val="pt-BR"/>
        </w:rPr>
        <w:t xml:space="preserve">na Europa os probióticos podem ingressar no mercado sem qualquer alegação, desde que comprovadamente seguros, ao passo que no mercado brasileiro nenhum probiótico, ainda que seguro, poderia entrar ou ser empregado sem que haja uma alegação aprovada pela ANVISA. Nota-se que os marco regulatórios são distintos e, portanto, </w:t>
      </w:r>
      <w:r w:rsidR="00FD32F5">
        <w:rPr>
          <w:rFonts w:asciiTheme="majorHAnsi" w:hAnsiTheme="majorHAnsi" w:cstheme="majorHAnsi"/>
          <w:lang w:val="pt-BR"/>
        </w:rPr>
        <w:t>a</w:t>
      </w:r>
      <w:r w:rsidR="00005796" w:rsidRPr="009D6E1A">
        <w:rPr>
          <w:rFonts w:asciiTheme="majorHAnsi" w:hAnsiTheme="majorHAnsi" w:cstheme="majorHAnsi"/>
          <w:lang w:val="pt-BR"/>
        </w:rPr>
        <w:t xml:space="preserve">valiações e modulações a nossa realidade, dentro de um juízo de adequação, necessidade e proporcionalidade preconizadas em lei devem ser consideradas. </w:t>
      </w:r>
    </w:p>
    <w:p w14:paraId="047B06C0" w14:textId="77777777" w:rsidR="009C6562" w:rsidRDefault="009C6562" w:rsidP="005B6E36">
      <w:pPr>
        <w:jc w:val="both"/>
        <w:rPr>
          <w:rFonts w:asciiTheme="majorHAnsi" w:hAnsiTheme="majorHAnsi" w:cstheme="majorHAnsi"/>
          <w:b/>
          <w:highlight w:val="yellow"/>
          <w:lang w:val="pt-BR"/>
        </w:rPr>
      </w:pPr>
    </w:p>
    <w:p w14:paraId="102868A0" w14:textId="27E61463" w:rsidR="009D6E1A" w:rsidRDefault="009C6562" w:rsidP="009C6562">
      <w:pPr>
        <w:rPr>
          <w:rFonts w:asciiTheme="majorHAnsi" w:hAnsiTheme="majorHAnsi" w:cstheme="majorHAnsi"/>
          <w:b/>
          <w:lang w:val="pt-BR"/>
        </w:rPr>
      </w:pPr>
      <w:r w:rsidRPr="00AC3A2D">
        <w:rPr>
          <w:rFonts w:asciiTheme="majorHAnsi" w:hAnsiTheme="majorHAnsi" w:cstheme="majorHAnsi"/>
          <w:b/>
          <w:highlight w:val="yellow"/>
          <w:lang w:val="pt-BR"/>
        </w:rPr>
        <w:t>TAREFA:</w:t>
      </w:r>
      <w:r>
        <w:rPr>
          <w:rFonts w:asciiTheme="majorHAnsi" w:hAnsiTheme="majorHAnsi" w:cstheme="majorHAnsi"/>
          <w:b/>
          <w:lang w:val="pt-BR"/>
        </w:rPr>
        <w:t xml:space="preserve"> elaborar resumo textual para o cenário atual da Europa</w:t>
      </w:r>
    </w:p>
    <w:tbl>
      <w:tblPr>
        <w:tblW w:w="1366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gridCol w:w="4060"/>
      </w:tblGrid>
      <w:tr w:rsidR="009C6562" w:rsidRPr="00DF00E6" w14:paraId="4B1B45AA" w14:textId="77777777" w:rsidTr="009C6562">
        <w:trPr>
          <w:trHeight w:val="288"/>
        </w:trPr>
        <w:tc>
          <w:tcPr>
            <w:tcW w:w="960" w:type="dxa"/>
            <w:tcBorders>
              <w:top w:val="nil"/>
              <w:left w:val="nil"/>
              <w:bottom w:val="nil"/>
              <w:right w:val="nil"/>
            </w:tcBorders>
            <w:shd w:val="clear" w:color="auto" w:fill="auto"/>
            <w:noWrap/>
            <w:vAlign w:val="bottom"/>
            <w:hideMark/>
          </w:tcPr>
          <w:p w14:paraId="1A7294E4" w14:textId="113E880E" w:rsidR="009C6562" w:rsidRPr="00DF00E6" w:rsidRDefault="009C6562" w:rsidP="00B04C3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C6BE67" w14:textId="77777777" w:rsidR="009C6562" w:rsidRPr="00DF00E6" w:rsidRDefault="009C6562" w:rsidP="00B04C3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834B83" w14:textId="77777777" w:rsidR="009C6562" w:rsidRPr="00DF00E6" w:rsidRDefault="009C6562" w:rsidP="00B04C3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F4AF1E" w14:textId="77777777" w:rsidR="009C6562" w:rsidRPr="00DF00E6" w:rsidRDefault="009C6562" w:rsidP="00B04C3C">
            <w:pPr>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63EED329" w14:textId="77777777" w:rsidR="009C6562" w:rsidRPr="00DF00E6" w:rsidRDefault="009C6562" w:rsidP="00AC3A2D">
            <w:pPr>
              <w:pStyle w:val="SemEspaamento"/>
              <w:rPr>
                <w:rFonts w:eastAsia="Times New Roman"/>
                <w:b/>
                <w:bCs/>
                <w:color w:val="000000"/>
              </w:rPr>
            </w:pPr>
            <w:proofErr w:type="spellStart"/>
            <w:r w:rsidRPr="00AC3A2D">
              <w:rPr>
                <w:b/>
              </w:rPr>
              <w:t>Uso</w:t>
            </w:r>
            <w:proofErr w:type="spellEnd"/>
            <w:r w:rsidRPr="00AC3A2D">
              <w:rPr>
                <w:b/>
              </w:rPr>
              <w:t xml:space="preserve"> do </w:t>
            </w:r>
            <w:proofErr w:type="spellStart"/>
            <w:r w:rsidRPr="00AC3A2D">
              <w:rPr>
                <w:b/>
              </w:rPr>
              <w:t>termo</w:t>
            </w:r>
            <w:proofErr w:type="spellEnd"/>
            <w:r w:rsidRPr="00AC3A2D">
              <w:rPr>
                <w:b/>
              </w:rPr>
              <w:t xml:space="preserve"> "</w:t>
            </w:r>
            <w:proofErr w:type="spellStart"/>
            <w:r w:rsidRPr="00AC3A2D">
              <w:rPr>
                <w:b/>
              </w:rPr>
              <w:t>Probióticos</w:t>
            </w:r>
            <w:proofErr w:type="spellEnd"/>
            <w:r w:rsidRPr="00DF00E6">
              <w:rPr>
                <w:rFonts w:eastAsia="Times New Roman"/>
                <w:b/>
                <w:bCs/>
                <w:color w:val="000000"/>
              </w:rPr>
              <w:t>"</w:t>
            </w:r>
          </w:p>
        </w:tc>
        <w:tc>
          <w:tcPr>
            <w:tcW w:w="960" w:type="dxa"/>
            <w:tcBorders>
              <w:top w:val="nil"/>
              <w:left w:val="nil"/>
              <w:bottom w:val="nil"/>
              <w:right w:val="nil"/>
            </w:tcBorders>
            <w:shd w:val="clear" w:color="auto" w:fill="auto"/>
            <w:noWrap/>
            <w:vAlign w:val="bottom"/>
            <w:hideMark/>
          </w:tcPr>
          <w:p w14:paraId="5C27ADC0" w14:textId="77777777" w:rsidR="009C6562" w:rsidRPr="00DF00E6" w:rsidRDefault="009C6562" w:rsidP="00B04C3C">
            <w:pPr>
              <w:rPr>
                <w:rFonts w:eastAsia="Times New Roman"/>
                <w:b/>
                <w:bCs/>
                <w:color w:val="000000"/>
              </w:rPr>
            </w:pPr>
          </w:p>
        </w:tc>
        <w:tc>
          <w:tcPr>
            <w:tcW w:w="960" w:type="dxa"/>
            <w:tcBorders>
              <w:top w:val="nil"/>
              <w:left w:val="nil"/>
              <w:bottom w:val="nil"/>
              <w:right w:val="nil"/>
            </w:tcBorders>
            <w:shd w:val="clear" w:color="auto" w:fill="auto"/>
            <w:noWrap/>
            <w:vAlign w:val="bottom"/>
            <w:hideMark/>
          </w:tcPr>
          <w:p w14:paraId="79418121" w14:textId="77777777" w:rsidR="009C6562" w:rsidRPr="00DF00E6" w:rsidRDefault="009C6562" w:rsidP="00B04C3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03BBC8" w14:textId="77777777" w:rsidR="009C6562" w:rsidRPr="00DF00E6" w:rsidRDefault="009C6562" w:rsidP="00B04C3C">
            <w:pPr>
              <w:rPr>
                <w:rFonts w:ascii="Times New Roman" w:eastAsia="Times New Roman" w:hAnsi="Times New Roman" w:cs="Times New Roman"/>
                <w:sz w:val="20"/>
                <w:szCs w:val="20"/>
              </w:rPr>
            </w:pPr>
          </w:p>
        </w:tc>
        <w:tc>
          <w:tcPr>
            <w:tcW w:w="4060" w:type="dxa"/>
            <w:tcBorders>
              <w:top w:val="nil"/>
              <w:left w:val="nil"/>
              <w:bottom w:val="nil"/>
              <w:right w:val="nil"/>
            </w:tcBorders>
            <w:shd w:val="clear" w:color="auto" w:fill="auto"/>
            <w:noWrap/>
            <w:vAlign w:val="bottom"/>
            <w:hideMark/>
          </w:tcPr>
          <w:p w14:paraId="6747DDF7" w14:textId="77777777" w:rsidR="009C6562" w:rsidRPr="00DF00E6" w:rsidRDefault="009C6562" w:rsidP="00B04C3C">
            <w:pPr>
              <w:rPr>
                <w:rFonts w:ascii="Times New Roman" w:eastAsia="Times New Roman" w:hAnsi="Times New Roman" w:cs="Times New Roman"/>
                <w:sz w:val="20"/>
                <w:szCs w:val="20"/>
              </w:rPr>
            </w:pPr>
          </w:p>
        </w:tc>
      </w:tr>
      <w:tr w:rsidR="009C6562" w:rsidRPr="00DF00E6" w14:paraId="794DC261" w14:textId="77777777" w:rsidTr="009C6562">
        <w:trPr>
          <w:trHeight w:val="288"/>
        </w:trPr>
        <w:tc>
          <w:tcPr>
            <w:tcW w:w="960" w:type="dxa"/>
            <w:tcBorders>
              <w:top w:val="nil"/>
              <w:left w:val="nil"/>
              <w:bottom w:val="nil"/>
              <w:right w:val="nil"/>
            </w:tcBorders>
            <w:shd w:val="clear" w:color="auto" w:fill="auto"/>
            <w:noWrap/>
            <w:vAlign w:val="bottom"/>
            <w:hideMark/>
          </w:tcPr>
          <w:p w14:paraId="7CD4587D" w14:textId="77777777" w:rsidR="009C6562" w:rsidRPr="00DF00E6" w:rsidRDefault="009C6562" w:rsidP="00B04C3C">
            <w:pPr>
              <w:rPr>
                <w:rFonts w:eastAsia="Times New Roman"/>
                <w:b/>
                <w:bCs/>
                <w:color w:val="000000"/>
              </w:rPr>
            </w:pPr>
            <w:r w:rsidRPr="00DF00E6">
              <w:rPr>
                <w:rFonts w:eastAsia="Times New Roman"/>
                <w:b/>
                <w:bCs/>
                <w:color w:val="000000"/>
              </w:rPr>
              <w:t>F&amp;B</w:t>
            </w:r>
          </w:p>
        </w:tc>
        <w:tc>
          <w:tcPr>
            <w:tcW w:w="960" w:type="dxa"/>
            <w:tcBorders>
              <w:top w:val="nil"/>
              <w:left w:val="nil"/>
              <w:bottom w:val="nil"/>
              <w:right w:val="nil"/>
            </w:tcBorders>
            <w:shd w:val="clear" w:color="auto" w:fill="auto"/>
            <w:noWrap/>
            <w:vAlign w:val="bottom"/>
            <w:hideMark/>
          </w:tcPr>
          <w:p w14:paraId="7953AC57" w14:textId="77777777" w:rsidR="009C6562" w:rsidRPr="00DF00E6" w:rsidRDefault="009C6562" w:rsidP="00B04C3C">
            <w:pPr>
              <w:rPr>
                <w:rFonts w:eastAsia="Times New Roman"/>
                <w:b/>
                <w:bCs/>
                <w:color w:val="000000"/>
              </w:rPr>
            </w:pPr>
          </w:p>
        </w:tc>
        <w:tc>
          <w:tcPr>
            <w:tcW w:w="960" w:type="dxa"/>
            <w:tcBorders>
              <w:top w:val="nil"/>
              <w:left w:val="nil"/>
              <w:bottom w:val="nil"/>
              <w:right w:val="nil"/>
            </w:tcBorders>
            <w:shd w:val="clear" w:color="auto" w:fill="auto"/>
            <w:noWrap/>
            <w:vAlign w:val="bottom"/>
            <w:hideMark/>
          </w:tcPr>
          <w:p w14:paraId="1A078C67" w14:textId="77777777" w:rsidR="009C6562" w:rsidRPr="00DF00E6" w:rsidRDefault="009C6562" w:rsidP="00B04C3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A21C91" w14:textId="77777777" w:rsidR="009C6562" w:rsidRPr="00DF00E6" w:rsidRDefault="009C6562" w:rsidP="00B04C3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2EB5A7" w14:textId="77777777" w:rsidR="009C6562" w:rsidRPr="00DF00E6" w:rsidRDefault="009C6562" w:rsidP="00B04C3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FB8C61" w14:textId="77777777" w:rsidR="009C6562" w:rsidRPr="00DF00E6" w:rsidRDefault="009C6562" w:rsidP="00B04C3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452E5E" w14:textId="77777777" w:rsidR="009C6562" w:rsidRPr="00DF00E6" w:rsidRDefault="009C6562" w:rsidP="00B04C3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10B0C6" w14:textId="77777777" w:rsidR="009C6562" w:rsidRPr="00DF00E6" w:rsidRDefault="009C6562" w:rsidP="00B04C3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5A99F5" w14:textId="77777777" w:rsidR="009C6562" w:rsidRPr="00DF00E6" w:rsidRDefault="009C6562" w:rsidP="00B04C3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D139C7" w14:textId="77777777" w:rsidR="009C6562" w:rsidRPr="00DF00E6" w:rsidRDefault="009C6562" w:rsidP="00B04C3C">
            <w:pPr>
              <w:rPr>
                <w:rFonts w:ascii="Times New Roman" w:eastAsia="Times New Roman" w:hAnsi="Times New Roman" w:cs="Times New Roman"/>
                <w:sz w:val="20"/>
                <w:szCs w:val="20"/>
              </w:rPr>
            </w:pPr>
          </w:p>
        </w:tc>
        <w:tc>
          <w:tcPr>
            <w:tcW w:w="4060" w:type="dxa"/>
            <w:tcBorders>
              <w:top w:val="nil"/>
              <w:left w:val="nil"/>
              <w:bottom w:val="nil"/>
              <w:right w:val="nil"/>
            </w:tcBorders>
            <w:shd w:val="clear" w:color="auto" w:fill="auto"/>
            <w:noWrap/>
            <w:vAlign w:val="bottom"/>
            <w:hideMark/>
          </w:tcPr>
          <w:p w14:paraId="66A23EBD" w14:textId="77777777" w:rsidR="009C6562" w:rsidRPr="00DF00E6" w:rsidRDefault="009C6562" w:rsidP="00B04C3C">
            <w:pPr>
              <w:rPr>
                <w:rFonts w:ascii="Times New Roman" w:eastAsia="Times New Roman" w:hAnsi="Times New Roman" w:cs="Times New Roman"/>
                <w:sz w:val="20"/>
                <w:szCs w:val="20"/>
              </w:rPr>
            </w:pPr>
          </w:p>
        </w:tc>
      </w:tr>
      <w:tr w:rsidR="009C6562" w:rsidRPr="00DF00E6" w14:paraId="1EDA4BEF" w14:textId="77777777" w:rsidTr="009C6562">
        <w:trPr>
          <w:trHeight w:val="720"/>
        </w:trPr>
        <w:tc>
          <w:tcPr>
            <w:tcW w:w="960"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07ADFDD2" w14:textId="77777777" w:rsidR="009C6562" w:rsidRPr="00DF00E6" w:rsidRDefault="009C6562" w:rsidP="00B04C3C">
            <w:pPr>
              <w:jc w:val="center"/>
              <w:rPr>
                <w:rFonts w:eastAsia="Times New Roman"/>
                <w:b/>
                <w:bCs/>
                <w:color w:val="FFFFFF"/>
                <w:sz w:val="18"/>
                <w:szCs w:val="18"/>
              </w:rPr>
            </w:pPr>
            <w:proofErr w:type="spellStart"/>
            <w:r w:rsidRPr="00DF00E6">
              <w:rPr>
                <w:rFonts w:eastAsia="Times New Roman"/>
                <w:b/>
                <w:bCs/>
                <w:color w:val="FFFFFF"/>
                <w:sz w:val="18"/>
                <w:szCs w:val="18"/>
              </w:rPr>
              <w:t>Itália</w:t>
            </w:r>
            <w:proofErr w:type="spellEnd"/>
          </w:p>
        </w:tc>
        <w:tc>
          <w:tcPr>
            <w:tcW w:w="960" w:type="dxa"/>
            <w:tcBorders>
              <w:top w:val="single" w:sz="4" w:space="0" w:color="auto"/>
              <w:left w:val="nil"/>
              <w:bottom w:val="single" w:sz="4" w:space="0" w:color="auto"/>
              <w:right w:val="single" w:sz="4" w:space="0" w:color="auto"/>
            </w:tcBorders>
            <w:shd w:val="clear" w:color="000000" w:fill="2F75B5"/>
            <w:noWrap/>
            <w:vAlign w:val="center"/>
            <w:hideMark/>
          </w:tcPr>
          <w:p w14:paraId="38EF1A03" w14:textId="77777777" w:rsidR="009C6562" w:rsidRPr="00DF00E6" w:rsidRDefault="009C6562" w:rsidP="00B04C3C">
            <w:pPr>
              <w:jc w:val="center"/>
              <w:rPr>
                <w:rFonts w:eastAsia="Times New Roman"/>
                <w:b/>
                <w:bCs/>
                <w:color w:val="FFFFFF"/>
                <w:sz w:val="18"/>
                <w:szCs w:val="18"/>
              </w:rPr>
            </w:pPr>
            <w:proofErr w:type="spellStart"/>
            <w:r w:rsidRPr="00DF00E6">
              <w:rPr>
                <w:rFonts w:eastAsia="Times New Roman"/>
                <w:b/>
                <w:bCs/>
                <w:color w:val="FFFFFF"/>
                <w:sz w:val="18"/>
                <w:szCs w:val="18"/>
              </w:rPr>
              <w:t>Espanha</w:t>
            </w:r>
            <w:proofErr w:type="spellEnd"/>
          </w:p>
        </w:tc>
        <w:tc>
          <w:tcPr>
            <w:tcW w:w="960" w:type="dxa"/>
            <w:tcBorders>
              <w:top w:val="single" w:sz="4" w:space="0" w:color="auto"/>
              <w:left w:val="nil"/>
              <w:bottom w:val="single" w:sz="4" w:space="0" w:color="auto"/>
              <w:right w:val="single" w:sz="4" w:space="0" w:color="auto"/>
            </w:tcBorders>
            <w:shd w:val="clear" w:color="000000" w:fill="2F75B5"/>
            <w:noWrap/>
            <w:vAlign w:val="center"/>
            <w:hideMark/>
          </w:tcPr>
          <w:p w14:paraId="47C5ABD2" w14:textId="77777777" w:rsidR="009C6562" w:rsidRPr="00DF00E6" w:rsidRDefault="009C6562" w:rsidP="00B04C3C">
            <w:pPr>
              <w:jc w:val="center"/>
              <w:rPr>
                <w:rFonts w:eastAsia="Times New Roman"/>
                <w:b/>
                <w:bCs/>
                <w:color w:val="FFFFFF"/>
                <w:sz w:val="18"/>
                <w:szCs w:val="18"/>
              </w:rPr>
            </w:pPr>
            <w:proofErr w:type="spellStart"/>
            <w:r w:rsidRPr="00DF00E6">
              <w:rPr>
                <w:rFonts w:eastAsia="Times New Roman"/>
                <w:b/>
                <w:bCs/>
                <w:color w:val="FFFFFF"/>
                <w:sz w:val="18"/>
                <w:szCs w:val="18"/>
              </w:rPr>
              <w:t>Holanda</w:t>
            </w:r>
            <w:proofErr w:type="spellEnd"/>
          </w:p>
        </w:tc>
        <w:tc>
          <w:tcPr>
            <w:tcW w:w="960" w:type="dxa"/>
            <w:tcBorders>
              <w:top w:val="single" w:sz="4" w:space="0" w:color="auto"/>
              <w:left w:val="nil"/>
              <w:bottom w:val="single" w:sz="4" w:space="0" w:color="auto"/>
              <w:right w:val="single" w:sz="4" w:space="0" w:color="auto"/>
            </w:tcBorders>
            <w:shd w:val="clear" w:color="000000" w:fill="2F75B5"/>
            <w:noWrap/>
            <w:vAlign w:val="center"/>
            <w:hideMark/>
          </w:tcPr>
          <w:p w14:paraId="055D831D" w14:textId="77777777" w:rsidR="009C6562" w:rsidRPr="00DF00E6" w:rsidRDefault="009C6562" w:rsidP="00B04C3C">
            <w:pPr>
              <w:jc w:val="center"/>
              <w:rPr>
                <w:rFonts w:eastAsia="Times New Roman"/>
                <w:b/>
                <w:bCs/>
                <w:color w:val="FFFFFF"/>
                <w:sz w:val="18"/>
                <w:szCs w:val="18"/>
              </w:rPr>
            </w:pPr>
            <w:proofErr w:type="spellStart"/>
            <w:r w:rsidRPr="00DF00E6">
              <w:rPr>
                <w:rFonts w:eastAsia="Times New Roman"/>
                <w:b/>
                <w:bCs/>
                <w:color w:val="FFFFFF"/>
                <w:sz w:val="18"/>
                <w:szCs w:val="18"/>
              </w:rPr>
              <w:t>Dinamarca</w:t>
            </w:r>
            <w:proofErr w:type="spellEnd"/>
          </w:p>
        </w:tc>
        <w:tc>
          <w:tcPr>
            <w:tcW w:w="960" w:type="dxa"/>
            <w:tcBorders>
              <w:top w:val="single" w:sz="4" w:space="0" w:color="auto"/>
              <w:left w:val="nil"/>
              <w:bottom w:val="single" w:sz="4" w:space="0" w:color="auto"/>
              <w:right w:val="single" w:sz="4" w:space="0" w:color="auto"/>
            </w:tcBorders>
            <w:shd w:val="clear" w:color="000000" w:fill="2F75B5"/>
            <w:noWrap/>
            <w:vAlign w:val="center"/>
            <w:hideMark/>
          </w:tcPr>
          <w:p w14:paraId="6F7BB19F" w14:textId="77777777" w:rsidR="009C6562" w:rsidRPr="00DF00E6" w:rsidRDefault="009C6562" w:rsidP="00B04C3C">
            <w:pPr>
              <w:jc w:val="center"/>
              <w:rPr>
                <w:rFonts w:eastAsia="Times New Roman"/>
                <w:b/>
                <w:bCs/>
                <w:color w:val="FFFFFF"/>
                <w:sz w:val="18"/>
                <w:szCs w:val="18"/>
              </w:rPr>
            </w:pPr>
            <w:r w:rsidRPr="00DF00E6">
              <w:rPr>
                <w:rFonts w:eastAsia="Times New Roman"/>
                <w:b/>
                <w:bCs/>
                <w:color w:val="FFFFFF"/>
                <w:sz w:val="18"/>
                <w:szCs w:val="18"/>
              </w:rPr>
              <w:t xml:space="preserve">Rep. </w:t>
            </w:r>
            <w:proofErr w:type="spellStart"/>
            <w:r w:rsidRPr="00DF00E6">
              <w:rPr>
                <w:rFonts w:eastAsia="Times New Roman"/>
                <w:b/>
                <w:bCs/>
                <w:color w:val="FFFFFF"/>
                <w:sz w:val="18"/>
                <w:szCs w:val="18"/>
              </w:rPr>
              <w:t>Tcheca</w:t>
            </w:r>
            <w:proofErr w:type="spellEnd"/>
          </w:p>
        </w:tc>
        <w:tc>
          <w:tcPr>
            <w:tcW w:w="960" w:type="dxa"/>
            <w:tcBorders>
              <w:top w:val="single" w:sz="4" w:space="0" w:color="auto"/>
              <w:left w:val="nil"/>
              <w:bottom w:val="single" w:sz="4" w:space="0" w:color="auto"/>
              <w:right w:val="single" w:sz="4" w:space="0" w:color="auto"/>
            </w:tcBorders>
            <w:shd w:val="clear" w:color="000000" w:fill="2F75B5"/>
            <w:noWrap/>
            <w:vAlign w:val="center"/>
            <w:hideMark/>
          </w:tcPr>
          <w:p w14:paraId="775A028A" w14:textId="77777777" w:rsidR="009C6562" w:rsidRPr="00DF00E6" w:rsidRDefault="009C6562" w:rsidP="00B04C3C">
            <w:pPr>
              <w:jc w:val="center"/>
              <w:rPr>
                <w:rFonts w:eastAsia="Times New Roman"/>
                <w:b/>
                <w:bCs/>
                <w:color w:val="FFFFFF"/>
                <w:sz w:val="18"/>
                <w:szCs w:val="18"/>
              </w:rPr>
            </w:pPr>
            <w:proofErr w:type="spellStart"/>
            <w:r w:rsidRPr="00DF00E6">
              <w:rPr>
                <w:rFonts w:eastAsia="Times New Roman"/>
                <w:b/>
                <w:bCs/>
                <w:color w:val="FFFFFF"/>
                <w:sz w:val="18"/>
                <w:szCs w:val="18"/>
              </w:rPr>
              <w:t>Polônia</w:t>
            </w:r>
            <w:proofErr w:type="spellEnd"/>
          </w:p>
        </w:tc>
        <w:tc>
          <w:tcPr>
            <w:tcW w:w="960" w:type="dxa"/>
            <w:tcBorders>
              <w:top w:val="single" w:sz="4" w:space="0" w:color="auto"/>
              <w:left w:val="nil"/>
              <w:bottom w:val="single" w:sz="4" w:space="0" w:color="auto"/>
              <w:right w:val="single" w:sz="4" w:space="0" w:color="auto"/>
            </w:tcBorders>
            <w:shd w:val="clear" w:color="000000" w:fill="2F75B5"/>
            <w:noWrap/>
            <w:vAlign w:val="center"/>
            <w:hideMark/>
          </w:tcPr>
          <w:p w14:paraId="532069FC" w14:textId="77777777" w:rsidR="009C6562" w:rsidRPr="00DF00E6" w:rsidRDefault="009C6562" w:rsidP="00B04C3C">
            <w:pPr>
              <w:jc w:val="center"/>
              <w:rPr>
                <w:rFonts w:eastAsia="Times New Roman"/>
                <w:b/>
                <w:bCs/>
                <w:color w:val="FFFFFF"/>
                <w:sz w:val="18"/>
                <w:szCs w:val="18"/>
              </w:rPr>
            </w:pPr>
            <w:proofErr w:type="spellStart"/>
            <w:r w:rsidRPr="00DF00E6">
              <w:rPr>
                <w:rFonts w:eastAsia="Times New Roman"/>
                <w:b/>
                <w:bCs/>
                <w:color w:val="FFFFFF"/>
                <w:sz w:val="18"/>
                <w:szCs w:val="18"/>
              </w:rPr>
              <w:t>Bulgária</w:t>
            </w:r>
            <w:proofErr w:type="spellEnd"/>
          </w:p>
        </w:tc>
        <w:tc>
          <w:tcPr>
            <w:tcW w:w="960" w:type="dxa"/>
            <w:tcBorders>
              <w:top w:val="single" w:sz="4" w:space="0" w:color="auto"/>
              <w:left w:val="nil"/>
              <w:bottom w:val="single" w:sz="4" w:space="0" w:color="auto"/>
              <w:right w:val="single" w:sz="4" w:space="0" w:color="auto"/>
            </w:tcBorders>
            <w:shd w:val="clear" w:color="000000" w:fill="2F75B5"/>
            <w:noWrap/>
            <w:vAlign w:val="center"/>
            <w:hideMark/>
          </w:tcPr>
          <w:p w14:paraId="1D8EBA25" w14:textId="77777777" w:rsidR="009C6562" w:rsidRPr="00DF00E6" w:rsidRDefault="009C6562" w:rsidP="00B04C3C">
            <w:pPr>
              <w:jc w:val="center"/>
              <w:rPr>
                <w:rFonts w:eastAsia="Times New Roman"/>
                <w:b/>
                <w:bCs/>
                <w:color w:val="FFFFFF"/>
                <w:sz w:val="18"/>
                <w:szCs w:val="18"/>
              </w:rPr>
            </w:pPr>
            <w:r w:rsidRPr="00DF00E6">
              <w:rPr>
                <w:rFonts w:eastAsia="Times New Roman"/>
                <w:b/>
                <w:bCs/>
                <w:color w:val="FFFFFF"/>
                <w:sz w:val="18"/>
                <w:szCs w:val="18"/>
              </w:rPr>
              <w:t>Malta</w:t>
            </w:r>
          </w:p>
        </w:tc>
        <w:tc>
          <w:tcPr>
            <w:tcW w:w="960" w:type="dxa"/>
            <w:tcBorders>
              <w:top w:val="single" w:sz="4" w:space="0" w:color="auto"/>
              <w:left w:val="nil"/>
              <w:bottom w:val="single" w:sz="4" w:space="0" w:color="auto"/>
              <w:right w:val="single" w:sz="4" w:space="0" w:color="auto"/>
            </w:tcBorders>
            <w:shd w:val="clear" w:color="000000" w:fill="2F75B5"/>
            <w:vAlign w:val="center"/>
            <w:hideMark/>
          </w:tcPr>
          <w:p w14:paraId="0787EFDE" w14:textId="77777777" w:rsidR="009C6562" w:rsidRPr="00DF00E6" w:rsidRDefault="009C6562" w:rsidP="00B04C3C">
            <w:pPr>
              <w:jc w:val="center"/>
              <w:rPr>
                <w:rFonts w:eastAsia="Times New Roman"/>
                <w:b/>
                <w:bCs/>
                <w:color w:val="FFFFFF"/>
                <w:sz w:val="18"/>
                <w:szCs w:val="18"/>
              </w:rPr>
            </w:pPr>
            <w:r w:rsidRPr="00DF00E6">
              <w:rPr>
                <w:rFonts w:eastAsia="Times New Roman"/>
                <w:b/>
                <w:bCs/>
                <w:color w:val="FFFFFF"/>
                <w:sz w:val="18"/>
                <w:szCs w:val="18"/>
              </w:rPr>
              <w:t xml:space="preserve">Outros </w:t>
            </w:r>
            <w:proofErr w:type="spellStart"/>
            <w:r w:rsidRPr="00DF00E6">
              <w:rPr>
                <w:rFonts w:eastAsia="Times New Roman"/>
                <w:b/>
                <w:bCs/>
                <w:color w:val="FFFFFF"/>
                <w:sz w:val="18"/>
                <w:szCs w:val="18"/>
              </w:rPr>
              <w:t>países-membro</w:t>
            </w:r>
            <w:proofErr w:type="spellEnd"/>
          </w:p>
        </w:tc>
        <w:tc>
          <w:tcPr>
            <w:tcW w:w="960" w:type="dxa"/>
            <w:tcBorders>
              <w:top w:val="single" w:sz="4" w:space="0" w:color="auto"/>
              <w:left w:val="nil"/>
              <w:bottom w:val="single" w:sz="4" w:space="0" w:color="auto"/>
              <w:right w:val="single" w:sz="4" w:space="0" w:color="auto"/>
            </w:tcBorders>
            <w:shd w:val="clear" w:color="000000" w:fill="2F75B5"/>
            <w:vAlign w:val="center"/>
            <w:hideMark/>
          </w:tcPr>
          <w:p w14:paraId="0509C3A3" w14:textId="77777777" w:rsidR="009C6562" w:rsidRPr="00DF00E6" w:rsidRDefault="009C6562" w:rsidP="00B04C3C">
            <w:pPr>
              <w:jc w:val="center"/>
              <w:rPr>
                <w:rFonts w:eastAsia="Times New Roman"/>
                <w:b/>
                <w:bCs/>
                <w:color w:val="FFFFFF"/>
                <w:sz w:val="18"/>
                <w:szCs w:val="18"/>
              </w:rPr>
            </w:pPr>
            <w:proofErr w:type="spellStart"/>
            <w:r w:rsidRPr="00DF00E6">
              <w:rPr>
                <w:rFonts w:eastAsia="Times New Roman"/>
                <w:b/>
                <w:bCs/>
                <w:color w:val="FFFFFF"/>
                <w:sz w:val="18"/>
                <w:szCs w:val="18"/>
              </w:rPr>
              <w:t>Reino</w:t>
            </w:r>
            <w:proofErr w:type="spellEnd"/>
            <w:r w:rsidRPr="00DF00E6">
              <w:rPr>
                <w:rFonts w:eastAsia="Times New Roman"/>
                <w:b/>
                <w:bCs/>
                <w:color w:val="FFFFFF"/>
                <w:sz w:val="18"/>
                <w:szCs w:val="18"/>
              </w:rPr>
              <w:t xml:space="preserve"> </w:t>
            </w:r>
            <w:proofErr w:type="spellStart"/>
            <w:r w:rsidRPr="00DF00E6">
              <w:rPr>
                <w:rFonts w:eastAsia="Times New Roman"/>
                <w:b/>
                <w:bCs/>
                <w:color w:val="FFFFFF"/>
                <w:sz w:val="18"/>
                <w:szCs w:val="18"/>
              </w:rPr>
              <w:t>Unido</w:t>
            </w:r>
            <w:proofErr w:type="spellEnd"/>
          </w:p>
        </w:tc>
        <w:tc>
          <w:tcPr>
            <w:tcW w:w="4060" w:type="dxa"/>
            <w:tcBorders>
              <w:top w:val="nil"/>
              <w:left w:val="nil"/>
              <w:bottom w:val="nil"/>
              <w:right w:val="nil"/>
            </w:tcBorders>
            <w:shd w:val="clear" w:color="auto" w:fill="auto"/>
            <w:noWrap/>
            <w:vAlign w:val="bottom"/>
            <w:hideMark/>
          </w:tcPr>
          <w:p w14:paraId="62A2E93A" w14:textId="77777777" w:rsidR="009C6562" w:rsidRPr="00DF00E6" w:rsidRDefault="009C6562" w:rsidP="00B04C3C">
            <w:pPr>
              <w:jc w:val="center"/>
              <w:rPr>
                <w:rFonts w:eastAsia="Times New Roman"/>
                <w:b/>
                <w:bCs/>
                <w:color w:val="FFFFFF"/>
                <w:sz w:val="18"/>
                <w:szCs w:val="18"/>
              </w:rPr>
            </w:pPr>
          </w:p>
        </w:tc>
      </w:tr>
      <w:tr w:rsidR="009C6562" w:rsidRPr="00DF00E6" w14:paraId="33AA5304" w14:textId="77777777" w:rsidTr="009C6562">
        <w:trPr>
          <w:trHeight w:val="288"/>
        </w:trPr>
        <w:tc>
          <w:tcPr>
            <w:tcW w:w="960" w:type="dxa"/>
            <w:tcBorders>
              <w:top w:val="nil"/>
              <w:left w:val="single" w:sz="4" w:space="0" w:color="auto"/>
              <w:bottom w:val="single" w:sz="4" w:space="0" w:color="auto"/>
              <w:right w:val="single" w:sz="4" w:space="0" w:color="auto"/>
            </w:tcBorders>
            <w:shd w:val="clear" w:color="000000" w:fill="00B050"/>
            <w:noWrap/>
            <w:vAlign w:val="bottom"/>
            <w:hideMark/>
          </w:tcPr>
          <w:p w14:paraId="274D2AB9" w14:textId="77777777" w:rsidR="009C6562" w:rsidRPr="00DF00E6" w:rsidRDefault="009C6562" w:rsidP="00B04C3C">
            <w:pPr>
              <w:rPr>
                <w:rFonts w:eastAsia="Times New Roman"/>
                <w:color w:val="000000"/>
              </w:rPr>
            </w:pPr>
            <w:r w:rsidRPr="00DF00E6">
              <w:rPr>
                <w:rFonts w:eastAsia="Times New Roman"/>
                <w:color w:val="000000"/>
              </w:rPr>
              <w:t> </w:t>
            </w:r>
          </w:p>
        </w:tc>
        <w:tc>
          <w:tcPr>
            <w:tcW w:w="960" w:type="dxa"/>
            <w:tcBorders>
              <w:top w:val="nil"/>
              <w:left w:val="nil"/>
              <w:bottom w:val="single" w:sz="4" w:space="0" w:color="auto"/>
              <w:right w:val="single" w:sz="4" w:space="0" w:color="auto"/>
            </w:tcBorders>
            <w:shd w:val="clear" w:color="000000" w:fill="00B050"/>
            <w:noWrap/>
            <w:vAlign w:val="bottom"/>
            <w:hideMark/>
          </w:tcPr>
          <w:p w14:paraId="566CBFC4" w14:textId="77777777" w:rsidR="009C6562" w:rsidRPr="00DF00E6" w:rsidRDefault="009C6562" w:rsidP="00B04C3C">
            <w:pPr>
              <w:rPr>
                <w:rFonts w:eastAsia="Times New Roman"/>
                <w:color w:val="000000"/>
              </w:rPr>
            </w:pPr>
            <w:r w:rsidRPr="00DF00E6">
              <w:rPr>
                <w:rFonts w:eastAsia="Times New Roman"/>
                <w:color w:val="000000"/>
              </w:rPr>
              <w:t> </w:t>
            </w:r>
          </w:p>
        </w:tc>
        <w:tc>
          <w:tcPr>
            <w:tcW w:w="960" w:type="dxa"/>
            <w:tcBorders>
              <w:top w:val="nil"/>
              <w:left w:val="nil"/>
              <w:bottom w:val="single" w:sz="4" w:space="0" w:color="auto"/>
              <w:right w:val="single" w:sz="4" w:space="0" w:color="auto"/>
            </w:tcBorders>
            <w:shd w:val="clear" w:color="000000" w:fill="F4B084"/>
            <w:noWrap/>
            <w:vAlign w:val="bottom"/>
            <w:hideMark/>
          </w:tcPr>
          <w:p w14:paraId="2505A3C3" w14:textId="77777777" w:rsidR="009C6562" w:rsidRPr="00DF00E6" w:rsidRDefault="009C6562" w:rsidP="00B04C3C">
            <w:pPr>
              <w:rPr>
                <w:rFonts w:eastAsia="Times New Roman"/>
                <w:color w:val="000000"/>
              </w:rPr>
            </w:pPr>
            <w:r w:rsidRPr="00DF00E6">
              <w:rPr>
                <w:rFonts w:eastAsia="Times New Roman"/>
                <w:color w:val="000000"/>
              </w:rPr>
              <w:t> </w:t>
            </w:r>
          </w:p>
        </w:tc>
        <w:tc>
          <w:tcPr>
            <w:tcW w:w="960" w:type="dxa"/>
            <w:tcBorders>
              <w:top w:val="nil"/>
              <w:left w:val="nil"/>
              <w:bottom w:val="single" w:sz="4" w:space="0" w:color="auto"/>
              <w:right w:val="single" w:sz="4" w:space="0" w:color="auto"/>
            </w:tcBorders>
            <w:shd w:val="clear" w:color="000000" w:fill="F4B084"/>
            <w:noWrap/>
            <w:vAlign w:val="bottom"/>
            <w:hideMark/>
          </w:tcPr>
          <w:p w14:paraId="64683658" w14:textId="77777777" w:rsidR="009C6562" w:rsidRPr="00DF00E6" w:rsidRDefault="009C6562" w:rsidP="00B04C3C">
            <w:pPr>
              <w:rPr>
                <w:rFonts w:eastAsia="Times New Roman"/>
                <w:color w:val="000000"/>
              </w:rPr>
            </w:pPr>
            <w:r w:rsidRPr="00DF00E6">
              <w:rPr>
                <w:rFonts w:eastAsia="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14:paraId="0CF9CB41" w14:textId="77777777" w:rsidR="009C6562" w:rsidRPr="00DF00E6" w:rsidRDefault="009C6562" w:rsidP="00B04C3C">
            <w:pPr>
              <w:rPr>
                <w:rFonts w:eastAsia="Times New Roman"/>
                <w:color w:val="000000"/>
              </w:rPr>
            </w:pPr>
            <w:r w:rsidRPr="00DF00E6">
              <w:rPr>
                <w:rFonts w:eastAsia="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14:paraId="65F724B3" w14:textId="77777777" w:rsidR="009C6562" w:rsidRPr="00DF00E6" w:rsidRDefault="009C6562" w:rsidP="00B04C3C">
            <w:pPr>
              <w:rPr>
                <w:rFonts w:eastAsia="Times New Roman"/>
                <w:color w:val="000000"/>
              </w:rPr>
            </w:pPr>
            <w:r w:rsidRPr="00DF00E6">
              <w:rPr>
                <w:rFonts w:eastAsia="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14:paraId="5547C7AF" w14:textId="77777777" w:rsidR="009C6562" w:rsidRPr="00DF00E6" w:rsidRDefault="009C6562" w:rsidP="00B04C3C">
            <w:pPr>
              <w:rPr>
                <w:rFonts w:eastAsia="Times New Roman"/>
                <w:color w:val="000000"/>
              </w:rPr>
            </w:pPr>
            <w:r w:rsidRPr="00DF00E6">
              <w:rPr>
                <w:rFonts w:eastAsia="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14:paraId="3DC46A8D" w14:textId="77777777" w:rsidR="009C6562" w:rsidRPr="00DF00E6" w:rsidRDefault="009C6562" w:rsidP="00B04C3C">
            <w:pPr>
              <w:rPr>
                <w:rFonts w:eastAsia="Times New Roman"/>
                <w:color w:val="000000"/>
              </w:rPr>
            </w:pPr>
            <w:r w:rsidRPr="00DF00E6">
              <w:rPr>
                <w:rFonts w:eastAsia="Times New Roman"/>
                <w:color w:val="000000"/>
              </w:rPr>
              <w:t> </w:t>
            </w:r>
          </w:p>
        </w:tc>
        <w:tc>
          <w:tcPr>
            <w:tcW w:w="960" w:type="dxa"/>
            <w:tcBorders>
              <w:top w:val="nil"/>
              <w:left w:val="nil"/>
              <w:bottom w:val="single" w:sz="4" w:space="0" w:color="auto"/>
              <w:right w:val="single" w:sz="4" w:space="0" w:color="auto"/>
            </w:tcBorders>
            <w:shd w:val="clear" w:color="000000" w:fill="F4B084"/>
            <w:noWrap/>
            <w:vAlign w:val="bottom"/>
            <w:hideMark/>
          </w:tcPr>
          <w:p w14:paraId="3338853B" w14:textId="77777777" w:rsidR="009C6562" w:rsidRPr="00DF00E6" w:rsidRDefault="009C6562" w:rsidP="00B04C3C">
            <w:pPr>
              <w:rPr>
                <w:rFonts w:eastAsia="Times New Roman"/>
                <w:color w:val="000000"/>
              </w:rPr>
            </w:pPr>
            <w:r w:rsidRPr="00DF00E6">
              <w:rPr>
                <w:rFonts w:eastAsia="Times New Roman"/>
                <w:color w:val="000000"/>
              </w:rPr>
              <w:t> </w:t>
            </w:r>
          </w:p>
        </w:tc>
        <w:tc>
          <w:tcPr>
            <w:tcW w:w="960" w:type="dxa"/>
            <w:tcBorders>
              <w:top w:val="nil"/>
              <w:left w:val="nil"/>
              <w:bottom w:val="single" w:sz="4" w:space="0" w:color="auto"/>
              <w:right w:val="single" w:sz="4" w:space="0" w:color="auto"/>
            </w:tcBorders>
            <w:shd w:val="clear" w:color="000000" w:fill="F4B084"/>
            <w:noWrap/>
            <w:vAlign w:val="bottom"/>
            <w:hideMark/>
          </w:tcPr>
          <w:p w14:paraId="1A5BF264" w14:textId="77777777" w:rsidR="009C6562" w:rsidRPr="00DF00E6" w:rsidRDefault="009C6562" w:rsidP="00B04C3C">
            <w:pPr>
              <w:rPr>
                <w:rFonts w:eastAsia="Times New Roman"/>
                <w:color w:val="000000"/>
              </w:rPr>
            </w:pPr>
            <w:r w:rsidRPr="00DF00E6">
              <w:rPr>
                <w:rFonts w:eastAsia="Times New Roman"/>
                <w:color w:val="000000"/>
              </w:rPr>
              <w:t> </w:t>
            </w:r>
          </w:p>
        </w:tc>
        <w:tc>
          <w:tcPr>
            <w:tcW w:w="4060" w:type="dxa"/>
            <w:tcBorders>
              <w:top w:val="nil"/>
              <w:left w:val="nil"/>
              <w:bottom w:val="nil"/>
              <w:right w:val="nil"/>
            </w:tcBorders>
            <w:shd w:val="clear" w:color="auto" w:fill="auto"/>
            <w:noWrap/>
            <w:vAlign w:val="bottom"/>
            <w:hideMark/>
          </w:tcPr>
          <w:p w14:paraId="546EA485" w14:textId="77777777" w:rsidR="009C6562" w:rsidRPr="00DF00E6" w:rsidRDefault="009C6562" w:rsidP="00B04C3C">
            <w:pPr>
              <w:rPr>
                <w:rFonts w:eastAsia="Times New Roman"/>
                <w:color w:val="000000"/>
              </w:rPr>
            </w:pPr>
          </w:p>
        </w:tc>
      </w:tr>
      <w:tr w:rsidR="009C6562" w:rsidRPr="00DF00E6" w14:paraId="517C01BA" w14:textId="77777777" w:rsidTr="009C6562">
        <w:trPr>
          <w:trHeight w:val="288"/>
        </w:trPr>
        <w:tc>
          <w:tcPr>
            <w:tcW w:w="960" w:type="dxa"/>
            <w:tcBorders>
              <w:top w:val="nil"/>
              <w:left w:val="nil"/>
              <w:bottom w:val="nil"/>
              <w:right w:val="nil"/>
            </w:tcBorders>
            <w:shd w:val="clear" w:color="auto" w:fill="auto"/>
            <w:noWrap/>
            <w:vAlign w:val="bottom"/>
            <w:hideMark/>
          </w:tcPr>
          <w:p w14:paraId="61409E5F" w14:textId="77777777" w:rsidR="009C6562" w:rsidRPr="00DF00E6" w:rsidRDefault="009C6562" w:rsidP="00B04C3C">
            <w:pPr>
              <w:rPr>
                <w:rFonts w:eastAsia="Times New Roman"/>
                <w:b/>
                <w:bCs/>
                <w:color w:val="000000"/>
              </w:rPr>
            </w:pPr>
            <w:r w:rsidRPr="00DF00E6">
              <w:rPr>
                <w:rFonts w:eastAsia="Times New Roman"/>
                <w:b/>
                <w:bCs/>
                <w:color w:val="000000"/>
              </w:rPr>
              <w:t>FS</w:t>
            </w:r>
          </w:p>
        </w:tc>
        <w:tc>
          <w:tcPr>
            <w:tcW w:w="960" w:type="dxa"/>
            <w:tcBorders>
              <w:top w:val="nil"/>
              <w:left w:val="nil"/>
              <w:bottom w:val="nil"/>
              <w:right w:val="nil"/>
            </w:tcBorders>
            <w:shd w:val="clear" w:color="auto" w:fill="auto"/>
            <w:noWrap/>
            <w:vAlign w:val="bottom"/>
            <w:hideMark/>
          </w:tcPr>
          <w:p w14:paraId="07088845" w14:textId="77777777" w:rsidR="009C6562" w:rsidRPr="00DF00E6" w:rsidRDefault="009C6562" w:rsidP="00B04C3C">
            <w:pPr>
              <w:rPr>
                <w:rFonts w:eastAsia="Times New Roman"/>
                <w:b/>
                <w:bCs/>
                <w:color w:val="000000"/>
              </w:rPr>
            </w:pPr>
          </w:p>
        </w:tc>
        <w:tc>
          <w:tcPr>
            <w:tcW w:w="960" w:type="dxa"/>
            <w:tcBorders>
              <w:top w:val="nil"/>
              <w:left w:val="nil"/>
              <w:bottom w:val="nil"/>
              <w:right w:val="nil"/>
            </w:tcBorders>
            <w:shd w:val="clear" w:color="auto" w:fill="auto"/>
            <w:noWrap/>
            <w:vAlign w:val="bottom"/>
            <w:hideMark/>
          </w:tcPr>
          <w:p w14:paraId="6D6065CD" w14:textId="77777777" w:rsidR="009C6562" w:rsidRPr="00DF00E6" w:rsidRDefault="009C6562" w:rsidP="00B04C3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2E6628" w14:textId="77777777" w:rsidR="009C6562" w:rsidRPr="00DF00E6" w:rsidRDefault="009C6562" w:rsidP="00B04C3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11C999" w14:textId="77777777" w:rsidR="009C6562" w:rsidRPr="00DF00E6" w:rsidRDefault="009C6562" w:rsidP="00B04C3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6FCDD9" w14:textId="77777777" w:rsidR="009C6562" w:rsidRPr="00DF00E6" w:rsidRDefault="009C6562" w:rsidP="00B04C3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38BA72" w14:textId="77777777" w:rsidR="009C6562" w:rsidRPr="00DF00E6" w:rsidRDefault="009C6562" w:rsidP="00B04C3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55A599" w14:textId="77777777" w:rsidR="009C6562" w:rsidRPr="00DF00E6" w:rsidRDefault="009C6562" w:rsidP="00B04C3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BE8D90" w14:textId="77777777" w:rsidR="009C6562" w:rsidRPr="00DF00E6" w:rsidRDefault="009C6562" w:rsidP="00B04C3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49A2E1" w14:textId="77777777" w:rsidR="009C6562" w:rsidRPr="00DF00E6" w:rsidRDefault="009C6562" w:rsidP="00B04C3C">
            <w:pPr>
              <w:rPr>
                <w:rFonts w:ascii="Times New Roman" w:eastAsia="Times New Roman" w:hAnsi="Times New Roman" w:cs="Times New Roman"/>
                <w:sz w:val="20"/>
                <w:szCs w:val="20"/>
              </w:rPr>
            </w:pPr>
          </w:p>
        </w:tc>
        <w:tc>
          <w:tcPr>
            <w:tcW w:w="4060" w:type="dxa"/>
            <w:tcBorders>
              <w:top w:val="nil"/>
              <w:left w:val="nil"/>
              <w:bottom w:val="nil"/>
              <w:right w:val="nil"/>
            </w:tcBorders>
            <w:shd w:val="clear" w:color="auto" w:fill="auto"/>
            <w:noWrap/>
            <w:vAlign w:val="bottom"/>
            <w:hideMark/>
          </w:tcPr>
          <w:p w14:paraId="11FA7C37" w14:textId="77777777" w:rsidR="009C6562" w:rsidRPr="00DF00E6" w:rsidRDefault="009C6562" w:rsidP="00B04C3C">
            <w:pPr>
              <w:rPr>
                <w:rFonts w:ascii="Times New Roman" w:eastAsia="Times New Roman" w:hAnsi="Times New Roman" w:cs="Times New Roman"/>
                <w:sz w:val="20"/>
                <w:szCs w:val="20"/>
              </w:rPr>
            </w:pPr>
          </w:p>
        </w:tc>
      </w:tr>
      <w:tr w:rsidR="009C6562" w:rsidRPr="00DF00E6" w14:paraId="2315ED35" w14:textId="77777777" w:rsidTr="009C6562">
        <w:trPr>
          <w:trHeight w:val="720"/>
        </w:trPr>
        <w:tc>
          <w:tcPr>
            <w:tcW w:w="960"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74926BFC" w14:textId="77777777" w:rsidR="009C6562" w:rsidRPr="00DF00E6" w:rsidRDefault="009C6562" w:rsidP="00B04C3C">
            <w:pPr>
              <w:jc w:val="center"/>
              <w:rPr>
                <w:rFonts w:eastAsia="Times New Roman"/>
                <w:b/>
                <w:bCs/>
                <w:color w:val="FFFFFF"/>
                <w:sz w:val="18"/>
                <w:szCs w:val="18"/>
              </w:rPr>
            </w:pPr>
            <w:proofErr w:type="spellStart"/>
            <w:r w:rsidRPr="00DF00E6">
              <w:rPr>
                <w:rFonts w:eastAsia="Times New Roman"/>
                <w:b/>
                <w:bCs/>
                <w:color w:val="FFFFFF"/>
                <w:sz w:val="18"/>
                <w:szCs w:val="18"/>
              </w:rPr>
              <w:t>Itália</w:t>
            </w:r>
            <w:proofErr w:type="spellEnd"/>
          </w:p>
        </w:tc>
        <w:tc>
          <w:tcPr>
            <w:tcW w:w="960" w:type="dxa"/>
            <w:tcBorders>
              <w:top w:val="single" w:sz="4" w:space="0" w:color="auto"/>
              <w:left w:val="nil"/>
              <w:bottom w:val="single" w:sz="4" w:space="0" w:color="auto"/>
              <w:right w:val="single" w:sz="4" w:space="0" w:color="auto"/>
            </w:tcBorders>
            <w:shd w:val="clear" w:color="000000" w:fill="2F75B5"/>
            <w:noWrap/>
            <w:vAlign w:val="center"/>
            <w:hideMark/>
          </w:tcPr>
          <w:p w14:paraId="3045A17A" w14:textId="77777777" w:rsidR="009C6562" w:rsidRPr="00DF00E6" w:rsidRDefault="009C6562" w:rsidP="00B04C3C">
            <w:pPr>
              <w:jc w:val="center"/>
              <w:rPr>
                <w:rFonts w:eastAsia="Times New Roman"/>
                <w:b/>
                <w:bCs/>
                <w:color w:val="FFFFFF"/>
                <w:sz w:val="18"/>
                <w:szCs w:val="18"/>
              </w:rPr>
            </w:pPr>
            <w:proofErr w:type="spellStart"/>
            <w:r w:rsidRPr="00DF00E6">
              <w:rPr>
                <w:rFonts w:eastAsia="Times New Roman"/>
                <w:b/>
                <w:bCs/>
                <w:color w:val="FFFFFF"/>
                <w:sz w:val="18"/>
                <w:szCs w:val="18"/>
              </w:rPr>
              <w:t>Espanha</w:t>
            </w:r>
            <w:proofErr w:type="spellEnd"/>
          </w:p>
        </w:tc>
        <w:tc>
          <w:tcPr>
            <w:tcW w:w="960" w:type="dxa"/>
            <w:tcBorders>
              <w:top w:val="single" w:sz="4" w:space="0" w:color="auto"/>
              <w:left w:val="nil"/>
              <w:bottom w:val="single" w:sz="4" w:space="0" w:color="auto"/>
              <w:right w:val="single" w:sz="4" w:space="0" w:color="auto"/>
            </w:tcBorders>
            <w:shd w:val="clear" w:color="000000" w:fill="2F75B5"/>
            <w:noWrap/>
            <w:vAlign w:val="center"/>
            <w:hideMark/>
          </w:tcPr>
          <w:p w14:paraId="7A5093C4" w14:textId="77777777" w:rsidR="009C6562" w:rsidRPr="00DF00E6" w:rsidRDefault="009C6562" w:rsidP="00B04C3C">
            <w:pPr>
              <w:jc w:val="center"/>
              <w:rPr>
                <w:rFonts w:eastAsia="Times New Roman"/>
                <w:b/>
                <w:bCs/>
                <w:color w:val="FFFFFF"/>
                <w:sz w:val="18"/>
                <w:szCs w:val="18"/>
              </w:rPr>
            </w:pPr>
            <w:proofErr w:type="spellStart"/>
            <w:r w:rsidRPr="00DF00E6">
              <w:rPr>
                <w:rFonts w:eastAsia="Times New Roman"/>
                <w:b/>
                <w:bCs/>
                <w:color w:val="FFFFFF"/>
                <w:sz w:val="18"/>
                <w:szCs w:val="18"/>
              </w:rPr>
              <w:t>Holanda</w:t>
            </w:r>
            <w:proofErr w:type="spellEnd"/>
          </w:p>
        </w:tc>
        <w:tc>
          <w:tcPr>
            <w:tcW w:w="960" w:type="dxa"/>
            <w:tcBorders>
              <w:top w:val="single" w:sz="4" w:space="0" w:color="auto"/>
              <w:left w:val="nil"/>
              <w:bottom w:val="single" w:sz="4" w:space="0" w:color="auto"/>
              <w:right w:val="single" w:sz="4" w:space="0" w:color="auto"/>
            </w:tcBorders>
            <w:shd w:val="clear" w:color="000000" w:fill="2F75B5"/>
            <w:noWrap/>
            <w:vAlign w:val="center"/>
            <w:hideMark/>
          </w:tcPr>
          <w:p w14:paraId="0041CD3A" w14:textId="77777777" w:rsidR="009C6562" w:rsidRPr="00DF00E6" w:rsidRDefault="009C6562" w:rsidP="00B04C3C">
            <w:pPr>
              <w:jc w:val="center"/>
              <w:rPr>
                <w:rFonts w:eastAsia="Times New Roman"/>
                <w:b/>
                <w:bCs/>
                <w:color w:val="FFFFFF"/>
                <w:sz w:val="18"/>
                <w:szCs w:val="18"/>
              </w:rPr>
            </w:pPr>
            <w:proofErr w:type="spellStart"/>
            <w:r w:rsidRPr="00DF00E6">
              <w:rPr>
                <w:rFonts w:eastAsia="Times New Roman"/>
                <w:b/>
                <w:bCs/>
                <w:color w:val="FFFFFF"/>
                <w:sz w:val="18"/>
                <w:szCs w:val="18"/>
              </w:rPr>
              <w:t>Dinamarca</w:t>
            </w:r>
            <w:proofErr w:type="spellEnd"/>
          </w:p>
        </w:tc>
        <w:tc>
          <w:tcPr>
            <w:tcW w:w="960" w:type="dxa"/>
            <w:tcBorders>
              <w:top w:val="single" w:sz="4" w:space="0" w:color="auto"/>
              <w:left w:val="nil"/>
              <w:bottom w:val="single" w:sz="4" w:space="0" w:color="auto"/>
              <w:right w:val="single" w:sz="4" w:space="0" w:color="auto"/>
            </w:tcBorders>
            <w:shd w:val="clear" w:color="000000" w:fill="2F75B5"/>
            <w:noWrap/>
            <w:vAlign w:val="center"/>
            <w:hideMark/>
          </w:tcPr>
          <w:p w14:paraId="776AE9D5" w14:textId="77777777" w:rsidR="009C6562" w:rsidRPr="00DF00E6" w:rsidRDefault="009C6562" w:rsidP="00B04C3C">
            <w:pPr>
              <w:jc w:val="center"/>
              <w:rPr>
                <w:rFonts w:eastAsia="Times New Roman"/>
                <w:b/>
                <w:bCs/>
                <w:color w:val="FFFFFF"/>
                <w:sz w:val="18"/>
                <w:szCs w:val="18"/>
              </w:rPr>
            </w:pPr>
            <w:r w:rsidRPr="00DF00E6">
              <w:rPr>
                <w:rFonts w:eastAsia="Times New Roman"/>
                <w:b/>
                <w:bCs/>
                <w:color w:val="FFFFFF"/>
                <w:sz w:val="18"/>
                <w:szCs w:val="18"/>
              </w:rPr>
              <w:t xml:space="preserve">Rep. </w:t>
            </w:r>
            <w:proofErr w:type="spellStart"/>
            <w:r w:rsidRPr="00DF00E6">
              <w:rPr>
                <w:rFonts w:eastAsia="Times New Roman"/>
                <w:b/>
                <w:bCs/>
                <w:color w:val="FFFFFF"/>
                <w:sz w:val="18"/>
                <w:szCs w:val="18"/>
              </w:rPr>
              <w:t>Tcheca</w:t>
            </w:r>
            <w:proofErr w:type="spellEnd"/>
          </w:p>
        </w:tc>
        <w:tc>
          <w:tcPr>
            <w:tcW w:w="960" w:type="dxa"/>
            <w:tcBorders>
              <w:top w:val="single" w:sz="4" w:space="0" w:color="auto"/>
              <w:left w:val="nil"/>
              <w:bottom w:val="single" w:sz="4" w:space="0" w:color="auto"/>
              <w:right w:val="single" w:sz="4" w:space="0" w:color="auto"/>
            </w:tcBorders>
            <w:shd w:val="clear" w:color="000000" w:fill="2F75B5"/>
            <w:noWrap/>
            <w:vAlign w:val="center"/>
            <w:hideMark/>
          </w:tcPr>
          <w:p w14:paraId="5B998052" w14:textId="77777777" w:rsidR="009C6562" w:rsidRPr="00DF00E6" w:rsidRDefault="009C6562" w:rsidP="00B04C3C">
            <w:pPr>
              <w:jc w:val="center"/>
              <w:rPr>
                <w:rFonts w:eastAsia="Times New Roman"/>
                <w:b/>
                <w:bCs/>
                <w:color w:val="FFFFFF"/>
                <w:sz w:val="18"/>
                <w:szCs w:val="18"/>
              </w:rPr>
            </w:pPr>
            <w:proofErr w:type="spellStart"/>
            <w:r w:rsidRPr="00DF00E6">
              <w:rPr>
                <w:rFonts w:eastAsia="Times New Roman"/>
                <w:b/>
                <w:bCs/>
                <w:color w:val="FFFFFF"/>
                <w:sz w:val="18"/>
                <w:szCs w:val="18"/>
              </w:rPr>
              <w:t>Polônia</w:t>
            </w:r>
            <w:proofErr w:type="spellEnd"/>
          </w:p>
        </w:tc>
        <w:tc>
          <w:tcPr>
            <w:tcW w:w="960" w:type="dxa"/>
            <w:tcBorders>
              <w:top w:val="single" w:sz="4" w:space="0" w:color="auto"/>
              <w:left w:val="nil"/>
              <w:bottom w:val="single" w:sz="4" w:space="0" w:color="auto"/>
              <w:right w:val="single" w:sz="4" w:space="0" w:color="auto"/>
            </w:tcBorders>
            <w:shd w:val="clear" w:color="000000" w:fill="2F75B5"/>
            <w:noWrap/>
            <w:vAlign w:val="center"/>
            <w:hideMark/>
          </w:tcPr>
          <w:p w14:paraId="2ADCC041" w14:textId="77777777" w:rsidR="009C6562" w:rsidRPr="00DF00E6" w:rsidRDefault="009C6562" w:rsidP="00B04C3C">
            <w:pPr>
              <w:jc w:val="center"/>
              <w:rPr>
                <w:rFonts w:eastAsia="Times New Roman"/>
                <w:b/>
                <w:bCs/>
                <w:color w:val="FFFFFF"/>
                <w:sz w:val="18"/>
                <w:szCs w:val="18"/>
              </w:rPr>
            </w:pPr>
            <w:proofErr w:type="spellStart"/>
            <w:r w:rsidRPr="00DF00E6">
              <w:rPr>
                <w:rFonts w:eastAsia="Times New Roman"/>
                <w:b/>
                <w:bCs/>
                <w:color w:val="FFFFFF"/>
                <w:sz w:val="18"/>
                <w:szCs w:val="18"/>
              </w:rPr>
              <w:t>Bulgária</w:t>
            </w:r>
            <w:proofErr w:type="spellEnd"/>
          </w:p>
        </w:tc>
        <w:tc>
          <w:tcPr>
            <w:tcW w:w="960" w:type="dxa"/>
            <w:tcBorders>
              <w:top w:val="single" w:sz="4" w:space="0" w:color="auto"/>
              <w:left w:val="nil"/>
              <w:bottom w:val="single" w:sz="4" w:space="0" w:color="auto"/>
              <w:right w:val="single" w:sz="4" w:space="0" w:color="auto"/>
            </w:tcBorders>
            <w:shd w:val="clear" w:color="000000" w:fill="2F75B5"/>
            <w:noWrap/>
            <w:vAlign w:val="center"/>
            <w:hideMark/>
          </w:tcPr>
          <w:p w14:paraId="71C837C1" w14:textId="77777777" w:rsidR="009C6562" w:rsidRPr="00DF00E6" w:rsidRDefault="009C6562" w:rsidP="00B04C3C">
            <w:pPr>
              <w:jc w:val="center"/>
              <w:rPr>
                <w:rFonts w:eastAsia="Times New Roman"/>
                <w:b/>
                <w:bCs/>
                <w:color w:val="FFFFFF"/>
                <w:sz w:val="18"/>
                <w:szCs w:val="18"/>
              </w:rPr>
            </w:pPr>
            <w:r w:rsidRPr="00DF00E6">
              <w:rPr>
                <w:rFonts w:eastAsia="Times New Roman"/>
                <w:b/>
                <w:bCs/>
                <w:color w:val="FFFFFF"/>
                <w:sz w:val="18"/>
                <w:szCs w:val="18"/>
              </w:rPr>
              <w:t>Malta</w:t>
            </w:r>
          </w:p>
        </w:tc>
        <w:tc>
          <w:tcPr>
            <w:tcW w:w="960" w:type="dxa"/>
            <w:tcBorders>
              <w:top w:val="single" w:sz="4" w:space="0" w:color="auto"/>
              <w:left w:val="nil"/>
              <w:bottom w:val="single" w:sz="4" w:space="0" w:color="auto"/>
              <w:right w:val="single" w:sz="4" w:space="0" w:color="auto"/>
            </w:tcBorders>
            <w:shd w:val="clear" w:color="000000" w:fill="2F75B5"/>
            <w:vAlign w:val="center"/>
            <w:hideMark/>
          </w:tcPr>
          <w:p w14:paraId="290FE585" w14:textId="77777777" w:rsidR="009C6562" w:rsidRPr="00DF00E6" w:rsidRDefault="009C6562" w:rsidP="00B04C3C">
            <w:pPr>
              <w:jc w:val="center"/>
              <w:rPr>
                <w:rFonts w:eastAsia="Times New Roman"/>
                <w:b/>
                <w:bCs/>
                <w:color w:val="FFFFFF"/>
                <w:sz w:val="18"/>
                <w:szCs w:val="18"/>
              </w:rPr>
            </w:pPr>
            <w:r w:rsidRPr="00DF00E6">
              <w:rPr>
                <w:rFonts w:eastAsia="Times New Roman"/>
                <w:b/>
                <w:bCs/>
                <w:color w:val="FFFFFF"/>
                <w:sz w:val="18"/>
                <w:szCs w:val="18"/>
              </w:rPr>
              <w:t xml:space="preserve">Outros </w:t>
            </w:r>
            <w:proofErr w:type="spellStart"/>
            <w:r w:rsidRPr="00DF00E6">
              <w:rPr>
                <w:rFonts w:eastAsia="Times New Roman"/>
                <w:b/>
                <w:bCs/>
                <w:color w:val="FFFFFF"/>
                <w:sz w:val="18"/>
                <w:szCs w:val="18"/>
              </w:rPr>
              <w:t>países-membro</w:t>
            </w:r>
            <w:proofErr w:type="spellEnd"/>
          </w:p>
        </w:tc>
        <w:tc>
          <w:tcPr>
            <w:tcW w:w="960" w:type="dxa"/>
            <w:tcBorders>
              <w:top w:val="single" w:sz="4" w:space="0" w:color="auto"/>
              <w:left w:val="nil"/>
              <w:bottom w:val="single" w:sz="4" w:space="0" w:color="auto"/>
              <w:right w:val="single" w:sz="4" w:space="0" w:color="auto"/>
            </w:tcBorders>
            <w:shd w:val="clear" w:color="000000" w:fill="2F75B5"/>
            <w:vAlign w:val="center"/>
            <w:hideMark/>
          </w:tcPr>
          <w:p w14:paraId="61E4E346" w14:textId="77777777" w:rsidR="009C6562" w:rsidRPr="00DF00E6" w:rsidRDefault="009C6562" w:rsidP="00B04C3C">
            <w:pPr>
              <w:jc w:val="center"/>
              <w:rPr>
                <w:rFonts w:eastAsia="Times New Roman"/>
                <w:b/>
                <w:bCs/>
                <w:color w:val="FFFFFF"/>
                <w:sz w:val="18"/>
                <w:szCs w:val="18"/>
              </w:rPr>
            </w:pPr>
            <w:proofErr w:type="spellStart"/>
            <w:r w:rsidRPr="00DF00E6">
              <w:rPr>
                <w:rFonts w:eastAsia="Times New Roman"/>
                <w:b/>
                <w:bCs/>
                <w:color w:val="FFFFFF"/>
                <w:sz w:val="18"/>
                <w:szCs w:val="18"/>
              </w:rPr>
              <w:t>Reino</w:t>
            </w:r>
            <w:proofErr w:type="spellEnd"/>
            <w:r w:rsidRPr="00DF00E6">
              <w:rPr>
                <w:rFonts w:eastAsia="Times New Roman"/>
                <w:b/>
                <w:bCs/>
                <w:color w:val="FFFFFF"/>
                <w:sz w:val="18"/>
                <w:szCs w:val="18"/>
              </w:rPr>
              <w:t xml:space="preserve"> </w:t>
            </w:r>
            <w:proofErr w:type="spellStart"/>
            <w:r w:rsidRPr="00DF00E6">
              <w:rPr>
                <w:rFonts w:eastAsia="Times New Roman"/>
                <w:b/>
                <w:bCs/>
                <w:color w:val="FFFFFF"/>
                <w:sz w:val="18"/>
                <w:szCs w:val="18"/>
              </w:rPr>
              <w:t>Unido</w:t>
            </w:r>
            <w:proofErr w:type="spellEnd"/>
          </w:p>
        </w:tc>
        <w:tc>
          <w:tcPr>
            <w:tcW w:w="4060" w:type="dxa"/>
            <w:tcBorders>
              <w:top w:val="nil"/>
              <w:left w:val="nil"/>
              <w:bottom w:val="nil"/>
              <w:right w:val="nil"/>
            </w:tcBorders>
            <w:shd w:val="clear" w:color="auto" w:fill="auto"/>
            <w:noWrap/>
            <w:vAlign w:val="bottom"/>
            <w:hideMark/>
          </w:tcPr>
          <w:p w14:paraId="24EFEAF8" w14:textId="77777777" w:rsidR="009C6562" w:rsidRPr="00DF00E6" w:rsidRDefault="009C6562" w:rsidP="00B04C3C">
            <w:pPr>
              <w:jc w:val="center"/>
              <w:rPr>
                <w:rFonts w:eastAsia="Times New Roman"/>
                <w:b/>
                <w:bCs/>
                <w:color w:val="FFFFFF"/>
                <w:sz w:val="18"/>
                <w:szCs w:val="18"/>
              </w:rPr>
            </w:pPr>
          </w:p>
        </w:tc>
      </w:tr>
      <w:tr w:rsidR="009C6562" w:rsidRPr="00DF00E6" w14:paraId="0B8CDD70" w14:textId="77777777" w:rsidTr="009C6562">
        <w:trPr>
          <w:trHeight w:val="288"/>
        </w:trPr>
        <w:tc>
          <w:tcPr>
            <w:tcW w:w="960" w:type="dxa"/>
            <w:tcBorders>
              <w:top w:val="nil"/>
              <w:left w:val="single" w:sz="4" w:space="0" w:color="auto"/>
              <w:bottom w:val="single" w:sz="4" w:space="0" w:color="auto"/>
              <w:right w:val="single" w:sz="4" w:space="0" w:color="auto"/>
            </w:tcBorders>
            <w:shd w:val="clear" w:color="000000" w:fill="00B050"/>
            <w:noWrap/>
            <w:vAlign w:val="bottom"/>
            <w:hideMark/>
          </w:tcPr>
          <w:p w14:paraId="68BAB824" w14:textId="77777777" w:rsidR="009C6562" w:rsidRPr="00DF00E6" w:rsidRDefault="009C6562" w:rsidP="00B04C3C">
            <w:pPr>
              <w:rPr>
                <w:rFonts w:eastAsia="Times New Roman"/>
                <w:color w:val="000000"/>
              </w:rPr>
            </w:pPr>
            <w:r w:rsidRPr="00DF00E6">
              <w:rPr>
                <w:rFonts w:eastAsia="Times New Roman"/>
                <w:color w:val="000000"/>
              </w:rPr>
              <w:t> </w:t>
            </w:r>
          </w:p>
        </w:tc>
        <w:tc>
          <w:tcPr>
            <w:tcW w:w="960" w:type="dxa"/>
            <w:tcBorders>
              <w:top w:val="nil"/>
              <w:left w:val="nil"/>
              <w:bottom w:val="single" w:sz="4" w:space="0" w:color="auto"/>
              <w:right w:val="single" w:sz="4" w:space="0" w:color="auto"/>
            </w:tcBorders>
            <w:shd w:val="clear" w:color="000000" w:fill="00B050"/>
            <w:noWrap/>
            <w:vAlign w:val="bottom"/>
            <w:hideMark/>
          </w:tcPr>
          <w:p w14:paraId="5E37199D" w14:textId="77777777" w:rsidR="009C6562" w:rsidRPr="00DF00E6" w:rsidRDefault="009C6562" w:rsidP="00B04C3C">
            <w:pPr>
              <w:rPr>
                <w:rFonts w:eastAsia="Times New Roman"/>
                <w:color w:val="000000"/>
              </w:rPr>
            </w:pPr>
            <w:r w:rsidRPr="00DF00E6">
              <w:rPr>
                <w:rFonts w:eastAsia="Times New Roman"/>
                <w:color w:val="000000"/>
              </w:rPr>
              <w:t> </w:t>
            </w:r>
          </w:p>
        </w:tc>
        <w:tc>
          <w:tcPr>
            <w:tcW w:w="960" w:type="dxa"/>
            <w:tcBorders>
              <w:top w:val="nil"/>
              <w:left w:val="nil"/>
              <w:bottom w:val="single" w:sz="4" w:space="0" w:color="auto"/>
              <w:right w:val="single" w:sz="4" w:space="0" w:color="auto"/>
            </w:tcBorders>
            <w:shd w:val="clear" w:color="000000" w:fill="00B050"/>
            <w:noWrap/>
            <w:vAlign w:val="bottom"/>
            <w:hideMark/>
          </w:tcPr>
          <w:p w14:paraId="02DE8264" w14:textId="77777777" w:rsidR="009C6562" w:rsidRPr="00DF00E6" w:rsidRDefault="009C6562" w:rsidP="00B04C3C">
            <w:pPr>
              <w:rPr>
                <w:rFonts w:eastAsia="Times New Roman"/>
                <w:color w:val="000000"/>
              </w:rPr>
            </w:pPr>
            <w:r w:rsidRPr="00DF00E6">
              <w:rPr>
                <w:rFonts w:eastAsia="Times New Roman"/>
                <w:color w:val="000000"/>
              </w:rPr>
              <w:t> </w:t>
            </w:r>
          </w:p>
        </w:tc>
        <w:tc>
          <w:tcPr>
            <w:tcW w:w="960" w:type="dxa"/>
            <w:tcBorders>
              <w:top w:val="nil"/>
              <w:left w:val="nil"/>
              <w:bottom w:val="single" w:sz="4" w:space="0" w:color="auto"/>
              <w:right w:val="single" w:sz="4" w:space="0" w:color="auto"/>
            </w:tcBorders>
            <w:shd w:val="clear" w:color="000000" w:fill="00B050"/>
            <w:noWrap/>
            <w:vAlign w:val="bottom"/>
            <w:hideMark/>
          </w:tcPr>
          <w:p w14:paraId="2D3CEE73" w14:textId="77777777" w:rsidR="009C6562" w:rsidRPr="00DF00E6" w:rsidRDefault="009C6562" w:rsidP="00B04C3C">
            <w:pPr>
              <w:rPr>
                <w:rFonts w:eastAsia="Times New Roman"/>
                <w:color w:val="000000"/>
              </w:rPr>
            </w:pPr>
            <w:r w:rsidRPr="00DF00E6">
              <w:rPr>
                <w:rFonts w:eastAsia="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14:paraId="15948D7F" w14:textId="77777777" w:rsidR="009C6562" w:rsidRPr="00DF00E6" w:rsidRDefault="009C6562" w:rsidP="00B04C3C">
            <w:pPr>
              <w:rPr>
                <w:rFonts w:eastAsia="Times New Roman"/>
                <w:color w:val="000000"/>
              </w:rPr>
            </w:pPr>
            <w:r w:rsidRPr="00DF00E6">
              <w:rPr>
                <w:rFonts w:eastAsia="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14:paraId="7F04F1D6" w14:textId="77777777" w:rsidR="009C6562" w:rsidRPr="00DF00E6" w:rsidRDefault="009C6562" w:rsidP="00B04C3C">
            <w:pPr>
              <w:rPr>
                <w:rFonts w:eastAsia="Times New Roman"/>
                <w:color w:val="000000"/>
              </w:rPr>
            </w:pPr>
            <w:r w:rsidRPr="00DF00E6">
              <w:rPr>
                <w:rFonts w:eastAsia="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14:paraId="7BBEA17D" w14:textId="77777777" w:rsidR="009C6562" w:rsidRPr="00DF00E6" w:rsidRDefault="009C6562" w:rsidP="00B04C3C">
            <w:pPr>
              <w:rPr>
                <w:rFonts w:eastAsia="Times New Roman"/>
                <w:color w:val="000000"/>
              </w:rPr>
            </w:pPr>
            <w:r w:rsidRPr="00DF00E6">
              <w:rPr>
                <w:rFonts w:eastAsia="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14:paraId="5B463743" w14:textId="77777777" w:rsidR="009C6562" w:rsidRPr="00DF00E6" w:rsidRDefault="009C6562" w:rsidP="00B04C3C">
            <w:pPr>
              <w:rPr>
                <w:rFonts w:eastAsia="Times New Roman"/>
                <w:color w:val="000000"/>
              </w:rPr>
            </w:pPr>
            <w:r w:rsidRPr="00DF00E6">
              <w:rPr>
                <w:rFonts w:eastAsia="Times New Roman"/>
                <w:color w:val="000000"/>
              </w:rPr>
              <w:t> </w:t>
            </w:r>
          </w:p>
        </w:tc>
        <w:tc>
          <w:tcPr>
            <w:tcW w:w="960" w:type="dxa"/>
            <w:tcBorders>
              <w:top w:val="nil"/>
              <w:left w:val="nil"/>
              <w:bottom w:val="single" w:sz="4" w:space="0" w:color="auto"/>
              <w:right w:val="single" w:sz="4" w:space="0" w:color="auto"/>
            </w:tcBorders>
            <w:shd w:val="clear" w:color="000000" w:fill="F4B084"/>
            <w:noWrap/>
            <w:vAlign w:val="bottom"/>
            <w:hideMark/>
          </w:tcPr>
          <w:p w14:paraId="2FC2F31C" w14:textId="77777777" w:rsidR="009C6562" w:rsidRPr="00DF00E6" w:rsidRDefault="009C6562" w:rsidP="00B04C3C">
            <w:pPr>
              <w:rPr>
                <w:rFonts w:eastAsia="Times New Roman"/>
                <w:color w:val="000000"/>
              </w:rPr>
            </w:pPr>
            <w:r w:rsidRPr="00DF00E6">
              <w:rPr>
                <w:rFonts w:eastAsia="Times New Roman"/>
                <w:color w:val="000000"/>
              </w:rPr>
              <w:t> </w:t>
            </w:r>
          </w:p>
        </w:tc>
        <w:tc>
          <w:tcPr>
            <w:tcW w:w="960" w:type="dxa"/>
            <w:tcBorders>
              <w:top w:val="nil"/>
              <w:left w:val="nil"/>
              <w:bottom w:val="single" w:sz="4" w:space="0" w:color="auto"/>
              <w:right w:val="single" w:sz="4" w:space="0" w:color="auto"/>
            </w:tcBorders>
            <w:shd w:val="clear" w:color="000000" w:fill="F4B084"/>
            <w:noWrap/>
            <w:vAlign w:val="bottom"/>
            <w:hideMark/>
          </w:tcPr>
          <w:p w14:paraId="64F556FB" w14:textId="77777777" w:rsidR="009C6562" w:rsidRPr="00DF00E6" w:rsidRDefault="009C6562" w:rsidP="00B04C3C">
            <w:pPr>
              <w:rPr>
                <w:rFonts w:eastAsia="Times New Roman"/>
                <w:color w:val="000000"/>
              </w:rPr>
            </w:pPr>
            <w:r w:rsidRPr="00DF00E6">
              <w:rPr>
                <w:rFonts w:eastAsia="Times New Roman"/>
                <w:color w:val="000000"/>
              </w:rPr>
              <w:t> </w:t>
            </w:r>
          </w:p>
        </w:tc>
        <w:tc>
          <w:tcPr>
            <w:tcW w:w="4060" w:type="dxa"/>
            <w:tcBorders>
              <w:top w:val="nil"/>
              <w:left w:val="nil"/>
              <w:bottom w:val="nil"/>
              <w:right w:val="nil"/>
            </w:tcBorders>
            <w:shd w:val="clear" w:color="auto" w:fill="auto"/>
            <w:noWrap/>
            <w:vAlign w:val="bottom"/>
            <w:hideMark/>
          </w:tcPr>
          <w:p w14:paraId="3316C4E9" w14:textId="77777777" w:rsidR="009C6562" w:rsidRPr="00DF00E6" w:rsidRDefault="009C6562" w:rsidP="00B04C3C">
            <w:pPr>
              <w:rPr>
                <w:rFonts w:eastAsia="Times New Roman"/>
                <w:color w:val="000000"/>
              </w:rPr>
            </w:pPr>
          </w:p>
        </w:tc>
      </w:tr>
    </w:tbl>
    <w:p w14:paraId="392EDF8A" w14:textId="12368BA7" w:rsidR="00474566" w:rsidRDefault="009C6562" w:rsidP="005B6E36">
      <w:pPr>
        <w:jc w:val="both"/>
        <w:rPr>
          <w:rFonts w:asciiTheme="majorHAnsi" w:hAnsiTheme="majorHAnsi" w:cstheme="majorHAnsi"/>
          <w:lang w:val="pt-BR"/>
        </w:rPr>
      </w:pPr>
      <w:r>
        <w:rPr>
          <w:noProof/>
          <w:lang w:val="pt-BR" w:eastAsia="pt-BR"/>
        </w:rPr>
        <w:lastRenderedPageBreak/>
        <w:drawing>
          <wp:inline distT="0" distB="0" distL="0" distR="0" wp14:anchorId="0174A0ED" wp14:editId="724E45E3">
            <wp:extent cx="2333625" cy="121920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33625" cy="1219200"/>
                    </a:xfrm>
                    <a:prstGeom prst="rect">
                      <a:avLst/>
                    </a:prstGeom>
                  </pic:spPr>
                </pic:pic>
              </a:graphicData>
            </a:graphic>
          </wp:inline>
        </w:drawing>
      </w:r>
    </w:p>
    <w:p w14:paraId="5A4F7953" w14:textId="77777777" w:rsidR="00025F84" w:rsidRDefault="00025F84" w:rsidP="005B6E36">
      <w:pPr>
        <w:jc w:val="both"/>
        <w:rPr>
          <w:rFonts w:asciiTheme="majorHAnsi" w:hAnsiTheme="majorHAnsi" w:cstheme="majorHAnsi"/>
          <w:lang w:val="pt-BR"/>
        </w:rPr>
        <w:sectPr w:rsidR="00025F84" w:rsidSect="00025F84">
          <w:pgSz w:w="12240" w:h="15840"/>
          <w:pgMar w:top="0" w:right="1440" w:bottom="1440" w:left="1440" w:header="720" w:footer="720" w:gutter="0"/>
          <w:cols w:space="720"/>
          <w:docGrid w:linePitch="360"/>
        </w:sectPr>
      </w:pPr>
    </w:p>
    <w:p w14:paraId="56428CB2" w14:textId="5D3F23DB" w:rsidR="00474566" w:rsidRDefault="00474566" w:rsidP="005B6E36">
      <w:pPr>
        <w:jc w:val="both"/>
        <w:rPr>
          <w:rFonts w:asciiTheme="majorHAnsi" w:hAnsiTheme="majorHAnsi" w:cstheme="majorHAnsi"/>
          <w:lang w:val="pt-BR"/>
        </w:rPr>
      </w:pPr>
    </w:p>
    <w:p w14:paraId="51983399" w14:textId="0E6792EB" w:rsidR="00025F84" w:rsidRDefault="00025F84" w:rsidP="005B6E36">
      <w:pPr>
        <w:jc w:val="both"/>
        <w:rPr>
          <w:rFonts w:asciiTheme="majorHAnsi" w:hAnsiTheme="majorHAnsi" w:cstheme="majorHAnsi"/>
          <w:lang w:val="pt-BR"/>
        </w:rPr>
      </w:pPr>
      <w:r>
        <w:rPr>
          <w:noProof/>
          <w:lang w:val="pt-BR" w:eastAsia="pt-BR"/>
        </w:rPr>
        <w:drawing>
          <wp:inline distT="0" distB="0" distL="0" distR="0" wp14:anchorId="367BF0E0" wp14:editId="1ED6615C">
            <wp:extent cx="8441267" cy="5230700"/>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459266" cy="5241853"/>
                    </a:xfrm>
                    <a:prstGeom prst="rect">
                      <a:avLst/>
                    </a:prstGeom>
                  </pic:spPr>
                </pic:pic>
              </a:graphicData>
            </a:graphic>
          </wp:inline>
        </w:drawing>
      </w:r>
    </w:p>
    <w:p w14:paraId="3D7E9A38" w14:textId="77777777" w:rsidR="00025F84" w:rsidRDefault="00025F84" w:rsidP="005B6E36">
      <w:pPr>
        <w:jc w:val="both"/>
        <w:rPr>
          <w:rFonts w:asciiTheme="majorHAnsi" w:hAnsiTheme="majorHAnsi" w:cstheme="majorHAnsi"/>
          <w:lang w:val="pt-BR"/>
        </w:rPr>
        <w:sectPr w:rsidR="00025F84" w:rsidSect="00025F84">
          <w:pgSz w:w="15840" w:h="12240" w:orient="landscape"/>
          <w:pgMar w:top="1440" w:right="0" w:bottom="1440" w:left="1440" w:header="720" w:footer="720" w:gutter="0"/>
          <w:cols w:space="720"/>
          <w:docGrid w:linePitch="360"/>
        </w:sectPr>
      </w:pPr>
    </w:p>
    <w:p w14:paraId="7FD6B12E" w14:textId="77777777" w:rsidR="00025F84" w:rsidRDefault="00025F84" w:rsidP="005B6E36">
      <w:pPr>
        <w:jc w:val="both"/>
        <w:rPr>
          <w:rFonts w:asciiTheme="majorHAnsi" w:hAnsiTheme="majorHAnsi" w:cstheme="majorHAnsi"/>
          <w:lang w:val="pt-BR"/>
        </w:rPr>
      </w:pPr>
    </w:p>
    <w:p w14:paraId="045EB55D" w14:textId="0E10110A" w:rsidR="00005796" w:rsidRPr="009D6E1A" w:rsidRDefault="00005796" w:rsidP="005B6E36">
      <w:pPr>
        <w:jc w:val="both"/>
        <w:rPr>
          <w:rFonts w:asciiTheme="majorHAnsi" w:hAnsiTheme="majorHAnsi" w:cstheme="majorHAnsi"/>
          <w:lang w:val="pt-BR"/>
        </w:rPr>
      </w:pPr>
      <w:r w:rsidRPr="009D6E1A">
        <w:rPr>
          <w:rFonts w:asciiTheme="majorHAnsi" w:hAnsiTheme="majorHAnsi" w:cstheme="majorHAnsi"/>
          <w:lang w:val="pt-BR"/>
        </w:rPr>
        <w:t xml:space="preserve">Importante notar também que cepas comercializadas na Europa sem comunicação de alegações e que são aprovadas pela autoridade canadense Health Canada com alegações de saúde não são aprovadas no Brasil. Embora o Health Canada seja um órgão de referência para as diretrizes estabelecidas na RDC </w:t>
      </w:r>
      <w:r w:rsidR="00840F45">
        <w:rPr>
          <w:rFonts w:asciiTheme="majorHAnsi" w:hAnsiTheme="majorHAnsi" w:cstheme="majorHAnsi"/>
          <w:lang w:val="pt-BR"/>
        </w:rPr>
        <w:t xml:space="preserve">nº </w:t>
      </w:r>
      <w:r w:rsidRPr="009D6E1A">
        <w:rPr>
          <w:rFonts w:asciiTheme="majorHAnsi" w:hAnsiTheme="majorHAnsi" w:cstheme="majorHAnsi"/>
          <w:lang w:val="pt-BR"/>
        </w:rPr>
        <w:t xml:space="preserve">241/2018 e no Guia de Probióticos, aprovações concedidas por esta Agência </w:t>
      </w:r>
      <w:r w:rsidR="007F07FB" w:rsidRPr="009D6E1A">
        <w:rPr>
          <w:rFonts w:asciiTheme="majorHAnsi" w:hAnsiTheme="majorHAnsi" w:cstheme="majorHAnsi"/>
          <w:lang w:val="pt-BR"/>
        </w:rPr>
        <w:t xml:space="preserve">não são consideradas pela ANVISA como uma referência de peso no contexto de aprovação local, ainda que seja possível demonstrar uma correlação entre os critérios e </w:t>
      </w:r>
      <w:r w:rsidR="00025F84" w:rsidRPr="009D6E1A">
        <w:rPr>
          <w:rFonts w:asciiTheme="majorHAnsi" w:hAnsiTheme="majorHAnsi" w:cstheme="majorHAnsi"/>
          <w:lang w:val="pt-BR"/>
        </w:rPr>
        <w:t>exigências</w:t>
      </w:r>
      <w:r w:rsidR="007F07FB" w:rsidRPr="009D6E1A">
        <w:rPr>
          <w:rFonts w:asciiTheme="majorHAnsi" w:hAnsiTheme="majorHAnsi" w:cstheme="majorHAnsi"/>
          <w:lang w:val="pt-BR"/>
        </w:rPr>
        <w:t xml:space="preserve"> de aprovação estabelecidos entre as duas Agências, não sendo observada, portanto, a </w:t>
      </w:r>
      <w:r w:rsidR="007F07FB" w:rsidRPr="009D6E1A">
        <w:rPr>
          <w:rFonts w:asciiTheme="majorHAnsi" w:hAnsiTheme="majorHAnsi" w:cstheme="majorHAnsi"/>
          <w:b/>
          <w:lang w:val="pt-BR"/>
        </w:rPr>
        <w:t>convergência regulatória</w:t>
      </w:r>
      <w:r w:rsidR="007F07FB" w:rsidRPr="009D6E1A">
        <w:rPr>
          <w:rFonts w:asciiTheme="majorHAnsi" w:hAnsiTheme="majorHAnsi" w:cstheme="majorHAnsi"/>
          <w:lang w:val="pt-BR"/>
        </w:rPr>
        <w:t xml:space="preserve"> entre as autoridades sanitárias canadense e brasileira</w:t>
      </w:r>
      <w:r w:rsidR="009D6E1A" w:rsidRPr="009D6E1A">
        <w:rPr>
          <w:rFonts w:asciiTheme="majorHAnsi" w:hAnsiTheme="majorHAnsi" w:cstheme="majorHAnsi"/>
          <w:lang w:val="pt-BR"/>
        </w:rPr>
        <w:t>.</w:t>
      </w:r>
    </w:p>
    <w:p w14:paraId="4E4C207E" w14:textId="77777777" w:rsidR="00F84E98" w:rsidRPr="009D6E1A" w:rsidRDefault="00F84E98" w:rsidP="006A0883">
      <w:pPr>
        <w:rPr>
          <w:rFonts w:asciiTheme="majorHAnsi" w:hAnsiTheme="majorHAnsi" w:cstheme="majorHAnsi"/>
          <w:lang w:val="pt-BR"/>
        </w:rPr>
      </w:pPr>
    </w:p>
    <w:p w14:paraId="59875F5C" w14:textId="77777777" w:rsidR="006A0883" w:rsidRPr="009D6E1A" w:rsidRDefault="006A0883" w:rsidP="005B6E36">
      <w:pPr>
        <w:jc w:val="both"/>
        <w:rPr>
          <w:rFonts w:asciiTheme="majorHAnsi" w:hAnsiTheme="majorHAnsi" w:cstheme="majorHAnsi"/>
          <w:b/>
          <w:lang w:val="pt-BR"/>
        </w:rPr>
      </w:pPr>
      <w:proofErr w:type="spellStart"/>
      <w:r w:rsidRPr="009D6E1A">
        <w:rPr>
          <w:rFonts w:asciiTheme="majorHAnsi" w:hAnsiTheme="majorHAnsi" w:cstheme="majorHAnsi"/>
          <w:b/>
          <w:lang w:val="pt-BR"/>
        </w:rPr>
        <w:t>Crioprotetores</w:t>
      </w:r>
      <w:proofErr w:type="spellEnd"/>
    </w:p>
    <w:p w14:paraId="3962213E" w14:textId="77777777" w:rsidR="009B4D55" w:rsidRPr="009D6E1A" w:rsidRDefault="006A0883" w:rsidP="005B6E36">
      <w:pPr>
        <w:jc w:val="both"/>
        <w:rPr>
          <w:rFonts w:asciiTheme="majorHAnsi" w:hAnsiTheme="majorHAnsi" w:cstheme="majorHAnsi"/>
          <w:lang w:val="pt-BR"/>
        </w:rPr>
      </w:pPr>
      <w:r w:rsidRPr="009D6E1A">
        <w:rPr>
          <w:rFonts w:asciiTheme="majorHAnsi" w:hAnsiTheme="majorHAnsi" w:cstheme="majorHAnsi"/>
          <w:lang w:val="pt-BR"/>
        </w:rPr>
        <w:t xml:space="preserve">Outro ponto de atenção que traz grande preocupação ao setor é o tema dos </w:t>
      </w:r>
      <w:proofErr w:type="spellStart"/>
      <w:r w:rsidRPr="009D6E1A">
        <w:rPr>
          <w:rFonts w:asciiTheme="majorHAnsi" w:hAnsiTheme="majorHAnsi" w:cstheme="majorHAnsi"/>
          <w:lang w:val="pt-BR"/>
        </w:rPr>
        <w:t>crioprotetores</w:t>
      </w:r>
      <w:proofErr w:type="spellEnd"/>
      <w:r w:rsidRPr="009D6E1A">
        <w:rPr>
          <w:rFonts w:asciiTheme="majorHAnsi" w:hAnsiTheme="majorHAnsi" w:cstheme="majorHAnsi"/>
          <w:lang w:val="pt-BR"/>
        </w:rPr>
        <w:t xml:space="preserve">, que têm sido alvo de exigências frequentes em processos de registro de suplementos contendo probióticos. </w:t>
      </w:r>
    </w:p>
    <w:p w14:paraId="04A212AE" w14:textId="1F3857E4" w:rsidR="009B4D55" w:rsidRPr="009D6E1A" w:rsidRDefault="009B4D55" w:rsidP="005B6E36">
      <w:pPr>
        <w:jc w:val="both"/>
        <w:rPr>
          <w:rFonts w:asciiTheme="majorHAnsi" w:hAnsiTheme="majorHAnsi" w:cstheme="majorHAnsi"/>
          <w:i/>
          <w:lang w:val="pt-BR"/>
        </w:rPr>
      </w:pPr>
      <w:proofErr w:type="spellStart"/>
      <w:r w:rsidRPr="009D6E1A">
        <w:rPr>
          <w:rFonts w:asciiTheme="majorHAnsi" w:hAnsiTheme="majorHAnsi" w:cstheme="majorHAnsi"/>
          <w:lang w:val="pt-BR"/>
        </w:rPr>
        <w:t>Crioprotetores</w:t>
      </w:r>
      <w:proofErr w:type="spellEnd"/>
      <w:r w:rsidRPr="009D6E1A">
        <w:rPr>
          <w:rFonts w:asciiTheme="majorHAnsi" w:hAnsiTheme="majorHAnsi" w:cstheme="majorHAnsi"/>
          <w:lang w:val="pt-BR"/>
        </w:rPr>
        <w:t xml:space="preserve"> são substâncias adicionadas antes da etapa de congelamento do processo de fabricação de microrganismos vivos para protegê-los de danos durante o congelamento e a liofilização. </w:t>
      </w:r>
      <w:r w:rsidR="009D6E1A">
        <w:rPr>
          <w:rFonts w:asciiTheme="majorHAnsi" w:hAnsiTheme="majorHAnsi" w:cstheme="majorHAnsi"/>
          <w:lang w:val="pt-BR"/>
        </w:rPr>
        <w:t xml:space="preserve">Essa tecnologia é utilizada mundialmente </w:t>
      </w:r>
      <w:r w:rsidR="00E645A6" w:rsidRPr="009D6E1A">
        <w:rPr>
          <w:rFonts w:asciiTheme="majorHAnsi" w:hAnsiTheme="majorHAnsi" w:cstheme="majorHAnsi"/>
          <w:lang w:val="pt-BR"/>
        </w:rPr>
        <w:t xml:space="preserve">há </w:t>
      </w:r>
      <w:r w:rsidR="009D6E1A">
        <w:rPr>
          <w:rFonts w:asciiTheme="majorHAnsi" w:hAnsiTheme="majorHAnsi" w:cstheme="majorHAnsi"/>
          <w:lang w:val="pt-BR"/>
        </w:rPr>
        <w:t xml:space="preserve">várias décadas </w:t>
      </w:r>
      <w:r w:rsidR="00E645A6" w:rsidRPr="009D6E1A">
        <w:rPr>
          <w:rFonts w:asciiTheme="majorHAnsi" w:hAnsiTheme="majorHAnsi" w:cstheme="majorHAnsi"/>
          <w:lang w:val="pt-BR"/>
        </w:rPr>
        <w:t>e não está restrit</w:t>
      </w:r>
      <w:r w:rsidR="009D6E1A">
        <w:rPr>
          <w:rFonts w:asciiTheme="majorHAnsi" w:hAnsiTheme="majorHAnsi" w:cstheme="majorHAnsi"/>
          <w:lang w:val="pt-BR"/>
        </w:rPr>
        <w:t>a</w:t>
      </w:r>
      <w:r w:rsidR="00E645A6" w:rsidRPr="009D6E1A">
        <w:rPr>
          <w:rFonts w:asciiTheme="majorHAnsi" w:hAnsiTheme="majorHAnsi" w:cstheme="majorHAnsi"/>
          <w:lang w:val="pt-BR"/>
        </w:rPr>
        <w:t xml:space="preserve"> ao processo de fermentação de probióticos. </w:t>
      </w:r>
      <w:r w:rsidRPr="009D6E1A">
        <w:rPr>
          <w:rFonts w:asciiTheme="majorHAnsi" w:hAnsiTheme="majorHAnsi" w:cstheme="majorHAnsi"/>
          <w:lang w:val="pt-BR"/>
        </w:rPr>
        <w:t xml:space="preserve">Tais substâncias não exercem nenhuma função tecnológica nos </w:t>
      </w:r>
      <w:proofErr w:type="gramStart"/>
      <w:r w:rsidRPr="009D6E1A">
        <w:rPr>
          <w:rFonts w:asciiTheme="majorHAnsi" w:hAnsiTheme="majorHAnsi" w:cstheme="majorHAnsi"/>
          <w:lang w:val="pt-BR"/>
        </w:rPr>
        <w:t>produtos finais</w:t>
      </w:r>
      <w:proofErr w:type="gramEnd"/>
      <w:r w:rsidR="00840F45">
        <w:rPr>
          <w:rFonts w:asciiTheme="majorHAnsi" w:hAnsiTheme="majorHAnsi" w:cstheme="majorHAnsi"/>
          <w:lang w:val="pt-BR"/>
        </w:rPr>
        <w:t>,</w:t>
      </w:r>
      <w:r w:rsidRPr="009D6E1A">
        <w:rPr>
          <w:rFonts w:asciiTheme="majorHAnsi" w:hAnsiTheme="majorHAnsi" w:cstheme="majorHAnsi"/>
          <w:lang w:val="pt-BR"/>
        </w:rPr>
        <w:t xml:space="preserve"> onde os </w:t>
      </w:r>
      <w:r w:rsidR="00025F84" w:rsidRPr="009D6E1A">
        <w:rPr>
          <w:rFonts w:asciiTheme="majorHAnsi" w:hAnsiTheme="majorHAnsi" w:cstheme="majorHAnsi"/>
          <w:lang w:val="pt-BR"/>
        </w:rPr>
        <w:t>microrganismos</w:t>
      </w:r>
      <w:r w:rsidRPr="009D6E1A">
        <w:rPr>
          <w:rFonts w:asciiTheme="majorHAnsi" w:hAnsiTheme="majorHAnsi" w:cstheme="majorHAnsi"/>
          <w:lang w:val="pt-BR"/>
        </w:rPr>
        <w:t xml:space="preserve"> são utilizados</w:t>
      </w:r>
      <w:r w:rsidR="009D7F82" w:rsidRPr="009D6E1A">
        <w:rPr>
          <w:rFonts w:asciiTheme="majorHAnsi" w:hAnsiTheme="majorHAnsi" w:cstheme="majorHAnsi"/>
          <w:lang w:val="pt-BR"/>
        </w:rPr>
        <w:t>, embora sejam transferidas de forma não intencional em baixíssimas quantidades, tendo em vista a impossibilidade de sua remoção</w:t>
      </w:r>
      <w:r w:rsidRPr="009D6E1A">
        <w:rPr>
          <w:rFonts w:asciiTheme="majorHAnsi" w:hAnsiTheme="majorHAnsi" w:cstheme="majorHAnsi"/>
          <w:lang w:val="pt-BR"/>
        </w:rPr>
        <w:t xml:space="preserve">. Este uso cumpre com o esperado para coadjuvantes de tecnologia segundo a definição do Codex para essa função tecnológica e definição adotada pela ANVISA na </w:t>
      </w:r>
      <w:r w:rsidR="000D456F" w:rsidRPr="009D6E1A">
        <w:rPr>
          <w:rFonts w:asciiTheme="majorHAnsi" w:hAnsiTheme="majorHAnsi" w:cstheme="majorHAnsi"/>
          <w:lang w:val="pt-BR"/>
        </w:rPr>
        <w:t xml:space="preserve">RDC </w:t>
      </w:r>
      <w:r w:rsidR="00840F45">
        <w:rPr>
          <w:rFonts w:asciiTheme="majorHAnsi" w:hAnsiTheme="majorHAnsi" w:cstheme="majorHAnsi"/>
          <w:lang w:val="pt-BR"/>
        </w:rPr>
        <w:t xml:space="preserve">nº </w:t>
      </w:r>
      <w:r w:rsidR="000D456F" w:rsidRPr="009D6E1A">
        <w:rPr>
          <w:rFonts w:asciiTheme="majorHAnsi" w:hAnsiTheme="majorHAnsi" w:cstheme="majorHAnsi"/>
          <w:lang w:val="pt-BR"/>
        </w:rPr>
        <w:t>466/2021</w:t>
      </w:r>
      <w:r w:rsidR="009D7F82" w:rsidRPr="009D6E1A">
        <w:rPr>
          <w:rFonts w:asciiTheme="majorHAnsi" w:hAnsiTheme="majorHAnsi" w:cstheme="majorHAnsi"/>
          <w:lang w:val="pt-BR"/>
        </w:rPr>
        <w:t>:</w:t>
      </w:r>
      <w:r w:rsidR="000D456F" w:rsidRPr="009D6E1A">
        <w:rPr>
          <w:rFonts w:asciiTheme="majorHAnsi" w:hAnsiTheme="majorHAnsi" w:cstheme="majorHAnsi"/>
          <w:lang w:val="pt-BR"/>
        </w:rPr>
        <w:t xml:space="preserve"> </w:t>
      </w:r>
      <w:r w:rsidR="009D7F82" w:rsidRPr="009D6E1A">
        <w:rPr>
          <w:rFonts w:asciiTheme="majorHAnsi" w:hAnsiTheme="majorHAnsi" w:cstheme="majorHAnsi"/>
          <w:lang w:val="pt-BR"/>
        </w:rPr>
        <w:t>C</w:t>
      </w:r>
      <w:r w:rsidR="000D456F" w:rsidRPr="009D6E1A">
        <w:rPr>
          <w:rFonts w:asciiTheme="majorHAnsi" w:hAnsiTheme="majorHAnsi" w:cstheme="majorHAnsi"/>
          <w:i/>
          <w:lang w:val="pt-BR"/>
        </w:rPr>
        <w:t xml:space="preserve">oadjuvante de tecnologia de fabricação é toda substância ou matéria, excluídos equipamentos e utensílios, que não se consome como ingrediente alimentício por si só e que se utiliza intencionalmente na </w:t>
      </w:r>
      <w:r w:rsidR="000D456F" w:rsidRPr="009D6E1A">
        <w:rPr>
          <w:rFonts w:asciiTheme="majorHAnsi" w:hAnsiTheme="majorHAnsi" w:cstheme="majorHAnsi"/>
          <w:b/>
          <w:i/>
          <w:lang w:val="pt-BR"/>
        </w:rPr>
        <w:t xml:space="preserve">elaboração de matérias primas, </w:t>
      </w:r>
      <w:r w:rsidR="000D456F" w:rsidRPr="009D6E1A">
        <w:rPr>
          <w:rFonts w:asciiTheme="majorHAnsi" w:hAnsiTheme="majorHAnsi" w:cstheme="majorHAnsi"/>
          <w:i/>
          <w:lang w:val="pt-BR"/>
        </w:rPr>
        <w:t>alimentos ou seus ingredientes,</w:t>
      </w:r>
      <w:r w:rsidR="000D456F" w:rsidRPr="009D6E1A">
        <w:rPr>
          <w:rFonts w:asciiTheme="majorHAnsi" w:hAnsiTheme="majorHAnsi" w:cstheme="majorHAnsi"/>
          <w:b/>
          <w:i/>
          <w:lang w:val="pt-BR"/>
        </w:rPr>
        <w:t xml:space="preserve"> para alcançar uma finalidade tecnológica durante o tratamento ou elaboração</w:t>
      </w:r>
      <w:r w:rsidR="000D456F" w:rsidRPr="009D6E1A">
        <w:rPr>
          <w:rFonts w:asciiTheme="majorHAnsi" w:hAnsiTheme="majorHAnsi" w:cstheme="majorHAnsi"/>
          <w:i/>
          <w:lang w:val="pt-BR"/>
        </w:rPr>
        <w:t xml:space="preserve">, podendo resultar na </w:t>
      </w:r>
      <w:r w:rsidR="000D456F" w:rsidRPr="009D6E1A">
        <w:rPr>
          <w:rFonts w:asciiTheme="majorHAnsi" w:hAnsiTheme="majorHAnsi" w:cstheme="majorHAnsi"/>
          <w:b/>
          <w:i/>
          <w:lang w:val="pt-BR"/>
        </w:rPr>
        <w:t>presença não intencional, porém inevitável</w:t>
      </w:r>
      <w:r w:rsidR="000D456F" w:rsidRPr="009D6E1A">
        <w:rPr>
          <w:rFonts w:asciiTheme="majorHAnsi" w:hAnsiTheme="majorHAnsi" w:cstheme="majorHAnsi"/>
          <w:i/>
          <w:lang w:val="pt-BR"/>
        </w:rPr>
        <w:t>, de resíduos ou derivados no produto final.</w:t>
      </w:r>
    </w:p>
    <w:p w14:paraId="58B357CE" w14:textId="22ED5C81" w:rsidR="004F0B92" w:rsidRPr="009D6E1A" w:rsidRDefault="006A0883" w:rsidP="005B6E36">
      <w:pPr>
        <w:jc w:val="both"/>
        <w:rPr>
          <w:rFonts w:asciiTheme="majorHAnsi" w:hAnsiTheme="majorHAnsi" w:cstheme="majorHAnsi"/>
          <w:lang w:val="pt-BR"/>
        </w:rPr>
      </w:pPr>
      <w:r w:rsidRPr="009D6E1A">
        <w:rPr>
          <w:rFonts w:asciiTheme="majorHAnsi" w:hAnsiTheme="majorHAnsi" w:cstheme="majorHAnsi"/>
          <w:lang w:val="pt-BR"/>
        </w:rPr>
        <w:t>Atualmente</w:t>
      </w:r>
      <w:r w:rsidR="00840F45">
        <w:rPr>
          <w:rFonts w:asciiTheme="majorHAnsi" w:hAnsiTheme="majorHAnsi" w:cstheme="majorHAnsi"/>
          <w:lang w:val="pt-BR"/>
        </w:rPr>
        <w:t>,</w:t>
      </w:r>
      <w:r w:rsidRPr="009D6E1A">
        <w:rPr>
          <w:rFonts w:asciiTheme="majorHAnsi" w:hAnsiTheme="majorHAnsi" w:cstheme="majorHAnsi"/>
          <w:lang w:val="pt-BR"/>
        </w:rPr>
        <w:t xml:space="preserve"> existe uma lacuna regulatória em relação aos critérios de regulamentação para el</w:t>
      </w:r>
      <w:r w:rsidR="009B4D55" w:rsidRPr="009D6E1A">
        <w:rPr>
          <w:rFonts w:asciiTheme="majorHAnsi" w:hAnsiTheme="majorHAnsi" w:cstheme="majorHAnsi"/>
          <w:lang w:val="pt-BR"/>
        </w:rPr>
        <w:t xml:space="preserve">es, que são objeto de discussão da CP </w:t>
      </w:r>
      <w:r w:rsidR="00840F45">
        <w:rPr>
          <w:rFonts w:asciiTheme="majorHAnsi" w:hAnsiTheme="majorHAnsi" w:cstheme="majorHAnsi"/>
          <w:lang w:val="pt-BR"/>
        </w:rPr>
        <w:t xml:space="preserve">nº </w:t>
      </w:r>
      <w:r w:rsidR="009B4D55" w:rsidRPr="009D6E1A">
        <w:rPr>
          <w:rFonts w:asciiTheme="majorHAnsi" w:hAnsiTheme="majorHAnsi" w:cstheme="majorHAnsi"/>
          <w:lang w:val="pt-BR"/>
        </w:rPr>
        <w:t>1</w:t>
      </w:r>
      <w:r w:rsidR="00A65185">
        <w:rPr>
          <w:rFonts w:asciiTheme="majorHAnsi" w:hAnsiTheme="majorHAnsi" w:cstheme="majorHAnsi"/>
          <w:lang w:val="pt-BR"/>
        </w:rPr>
        <w:t>.</w:t>
      </w:r>
      <w:r w:rsidR="009B4D55" w:rsidRPr="009D6E1A">
        <w:rPr>
          <w:rFonts w:asciiTheme="majorHAnsi" w:hAnsiTheme="majorHAnsi" w:cstheme="majorHAnsi"/>
          <w:lang w:val="pt-BR"/>
        </w:rPr>
        <w:t>038/21</w:t>
      </w:r>
      <w:r w:rsidR="000D456F" w:rsidRPr="009D6E1A">
        <w:rPr>
          <w:rFonts w:asciiTheme="majorHAnsi" w:hAnsiTheme="majorHAnsi" w:cstheme="majorHAnsi"/>
          <w:lang w:val="pt-BR"/>
        </w:rPr>
        <w:t xml:space="preserve">, onde o setor produtivo, através de manifesto conjunto entre 6 associações (ABIAD, ABIAM, ABIA, ABBI, ABIFISA e SINDUSFARMA), apresentou considerações e preocupações em relação a abordagem proposta pela ANVISA na </w:t>
      </w:r>
      <w:r w:rsidR="00840F45">
        <w:rPr>
          <w:rFonts w:asciiTheme="majorHAnsi" w:hAnsiTheme="majorHAnsi" w:cstheme="majorHAnsi"/>
          <w:lang w:val="pt-BR"/>
        </w:rPr>
        <w:t xml:space="preserve">referida </w:t>
      </w:r>
      <w:r w:rsidR="000D456F" w:rsidRPr="009D6E1A">
        <w:rPr>
          <w:rFonts w:asciiTheme="majorHAnsi" w:hAnsiTheme="majorHAnsi" w:cstheme="majorHAnsi"/>
          <w:lang w:val="pt-BR"/>
        </w:rPr>
        <w:t>CP e tratativas já adotadas na prática através de exigências em processos de registro</w:t>
      </w:r>
      <w:r w:rsidR="009D7F82" w:rsidRPr="009D6E1A">
        <w:rPr>
          <w:rFonts w:asciiTheme="majorHAnsi" w:hAnsiTheme="majorHAnsi" w:cstheme="majorHAnsi"/>
          <w:lang w:val="pt-BR"/>
        </w:rPr>
        <w:t xml:space="preserve"> de produtos contendo probióticos. </w:t>
      </w:r>
    </w:p>
    <w:p w14:paraId="733C5552" w14:textId="67960B00" w:rsidR="004F0B92" w:rsidRPr="009D6E1A" w:rsidRDefault="00E645A6" w:rsidP="005B6E36">
      <w:pPr>
        <w:jc w:val="both"/>
        <w:rPr>
          <w:rFonts w:asciiTheme="majorHAnsi" w:hAnsiTheme="majorHAnsi" w:cstheme="majorHAnsi"/>
          <w:lang w:val="pt-BR"/>
        </w:rPr>
      </w:pPr>
      <w:r w:rsidRPr="009D6E1A">
        <w:rPr>
          <w:rFonts w:asciiTheme="majorHAnsi" w:hAnsiTheme="majorHAnsi" w:cstheme="majorHAnsi"/>
          <w:lang w:val="pt-BR"/>
        </w:rPr>
        <w:t xml:space="preserve">Cabe mencionar também que, </w:t>
      </w:r>
      <w:r w:rsidR="00117F72">
        <w:rPr>
          <w:rFonts w:asciiTheme="majorHAnsi" w:hAnsiTheme="majorHAnsi" w:cstheme="majorHAnsi"/>
          <w:lang w:val="pt-BR"/>
        </w:rPr>
        <w:t xml:space="preserve">no </w:t>
      </w:r>
      <w:r w:rsidR="00117F72" w:rsidRPr="00117F72">
        <w:rPr>
          <w:rFonts w:asciiTheme="majorHAnsi" w:hAnsiTheme="majorHAnsi" w:cstheme="majorHAnsi"/>
          <w:lang w:val="pt-BR"/>
        </w:rPr>
        <w:t>Documento de perguntas e respostas sobre suplementos alimentares</w:t>
      </w:r>
      <w:r w:rsidR="001B0621">
        <w:rPr>
          <w:rFonts w:asciiTheme="majorHAnsi" w:hAnsiTheme="majorHAnsi" w:cstheme="majorHAnsi"/>
          <w:lang w:val="pt-BR"/>
        </w:rPr>
        <w:t xml:space="preserve"> </w:t>
      </w:r>
      <w:r w:rsidR="00117F72" w:rsidRPr="00117F72">
        <w:rPr>
          <w:rFonts w:asciiTheme="majorHAnsi" w:hAnsiTheme="majorHAnsi" w:cstheme="majorHAnsi"/>
          <w:lang w:val="pt-BR"/>
        </w:rPr>
        <w:t>7ª edi</w:t>
      </w:r>
      <w:r w:rsidR="001B0621">
        <w:rPr>
          <w:rFonts w:asciiTheme="majorHAnsi" w:hAnsiTheme="majorHAnsi" w:cstheme="majorHAnsi"/>
          <w:lang w:val="pt-BR"/>
        </w:rPr>
        <w:t>ção</w:t>
      </w:r>
      <w:r w:rsidR="004F0B92" w:rsidRPr="009D6E1A">
        <w:rPr>
          <w:rFonts w:asciiTheme="majorHAnsi" w:hAnsiTheme="majorHAnsi" w:cstheme="majorHAnsi"/>
          <w:lang w:val="pt-BR"/>
        </w:rPr>
        <w:t xml:space="preserve">, a ANVISA traz, na questão 149, uma abordagem que entendemos ser inadequada aos </w:t>
      </w:r>
      <w:proofErr w:type="spellStart"/>
      <w:r w:rsidR="004F0B92" w:rsidRPr="009D6E1A">
        <w:rPr>
          <w:rFonts w:asciiTheme="majorHAnsi" w:hAnsiTheme="majorHAnsi" w:cstheme="majorHAnsi"/>
          <w:lang w:val="pt-BR"/>
        </w:rPr>
        <w:t>crioprotetores</w:t>
      </w:r>
      <w:proofErr w:type="spellEnd"/>
      <w:r w:rsidR="004F0B92" w:rsidRPr="009D6E1A">
        <w:rPr>
          <w:rFonts w:asciiTheme="majorHAnsi" w:hAnsiTheme="majorHAnsi" w:cstheme="majorHAnsi"/>
          <w:lang w:val="pt-BR"/>
        </w:rPr>
        <w:t>:</w:t>
      </w:r>
    </w:p>
    <w:p w14:paraId="6CA222AC" w14:textId="77777777" w:rsidR="004F0B92" w:rsidRPr="009D6E1A" w:rsidRDefault="004F0B92" w:rsidP="004F0B92">
      <w:pPr>
        <w:rPr>
          <w:rFonts w:asciiTheme="majorHAnsi" w:hAnsiTheme="majorHAnsi" w:cstheme="majorHAnsi"/>
          <w:b/>
          <w:i/>
          <w:lang w:val="pt-BR"/>
        </w:rPr>
      </w:pPr>
      <w:r w:rsidRPr="009D6E1A">
        <w:rPr>
          <w:rFonts w:asciiTheme="majorHAnsi" w:hAnsiTheme="majorHAnsi" w:cstheme="majorHAnsi"/>
          <w:b/>
          <w:i/>
          <w:lang w:val="pt-BR"/>
        </w:rPr>
        <w:t xml:space="preserve">149. Os </w:t>
      </w:r>
      <w:proofErr w:type="spellStart"/>
      <w:r w:rsidRPr="009D6E1A">
        <w:rPr>
          <w:rFonts w:asciiTheme="majorHAnsi" w:hAnsiTheme="majorHAnsi" w:cstheme="majorHAnsi"/>
          <w:b/>
          <w:i/>
          <w:lang w:val="pt-BR"/>
        </w:rPr>
        <w:t>crioprotetores</w:t>
      </w:r>
      <w:proofErr w:type="spellEnd"/>
      <w:r w:rsidRPr="009D6E1A">
        <w:rPr>
          <w:rFonts w:asciiTheme="majorHAnsi" w:hAnsiTheme="majorHAnsi" w:cstheme="majorHAnsi"/>
          <w:b/>
          <w:i/>
          <w:lang w:val="pt-BR"/>
        </w:rPr>
        <w:t xml:space="preserve"> podem ser utilizados em suplementos alimentares?</w:t>
      </w:r>
    </w:p>
    <w:p w14:paraId="2319124D" w14:textId="78366CB7" w:rsidR="00833CB7" w:rsidRPr="009D6E1A" w:rsidRDefault="004F0B92" w:rsidP="005B6E36">
      <w:pPr>
        <w:jc w:val="both"/>
        <w:rPr>
          <w:rFonts w:asciiTheme="majorHAnsi" w:hAnsiTheme="majorHAnsi" w:cstheme="majorHAnsi"/>
          <w:i/>
          <w:lang w:val="pt-BR"/>
        </w:rPr>
      </w:pPr>
      <w:r w:rsidRPr="009D6E1A">
        <w:rPr>
          <w:rFonts w:asciiTheme="majorHAnsi" w:hAnsiTheme="majorHAnsi" w:cstheme="majorHAnsi"/>
          <w:i/>
          <w:lang w:val="pt-BR"/>
        </w:rPr>
        <w:t xml:space="preserve">Os </w:t>
      </w:r>
      <w:proofErr w:type="spellStart"/>
      <w:r w:rsidRPr="009D6E1A">
        <w:rPr>
          <w:rFonts w:asciiTheme="majorHAnsi" w:hAnsiTheme="majorHAnsi" w:cstheme="majorHAnsi"/>
          <w:i/>
          <w:lang w:val="pt-BR"/>
        </w:rPr>
        <w:t>crioprotetores</w:t>
      </w:r>
      <w:proofErr w:type="spellEnd"/>
      <w:r w:rsidRPr="009D6E1A">
        <w:rPr>
          <w:rFonts w:asciiTheme="majorHAnsi" w:hAnsiTheme="majorHAnsi" w:cstheme="majorHAnsi"/>
          <w:i/>
          <w:lang w:val="pt-BR"/>
        </w:rPr>
        <w:t xml:space="preserve">, substâncias utilizadas para dispersar e proteger o </w:t>
      </w:r>
      <w:r w:rsidR="00025F84" w:rsidRPr="009D6E1A">
        <w:rPr>
          <w:rFonts w:asciiTheme="majorHAnsi" w:hAnsiTheme="majorHAnsi" w:cstheme="majorHAnsi"/>
          <w:i/>
          <w:lang w:val="pt-BR"/>
        </w:rPr>
        <w:t>microrganismo</w:t>
      </w:r>
      <w:r w:rsidRPr="009D6E1A">
        <w:rPr>
          <w:rFonts w:asciiTheme="majorHAnsi" w:hAnsiTheme="majorHAnsi" w:cstheme="majorHAnsi"/>
          <w:i/>
          <w:lang w:val="pt-BR"/>
        </w:rPr>
        <w:t xml:space="preserve"> probiótico de danos do congelamento, não possuem uma lista</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de autorização própria. Essas substâncias são ingredientes de natureza</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 xml:space="preserve">diversa e a função de </w:t>
      </w:r>
      <w:proofErr w:type="spellStart"/>
      <w:r w:rsidRPr="009D6E1A">
        <w:rPr>
          <w:rFonts w:asciiTheme="majorHAnsi" w:hAnsiTheme="majorHAnsi" w:cstheme="majorHAnsi"/>
          <w:i/>
          <w:lang w:val="pt-BR"/>
        </w:rPr>
        <w:t>crioproteção</w:t>
      </w:r>
      <w:proofErr w:type="spellEnd"/>
      <w:r w:rsidRPr="009D6E1A">
        <w:rPr>
          <w:rFonts w:asciiTheme="majorHAnsi" w:hAnsiTheme="majorHAnsi" w:cstheme="majorHAnsi"/>
          <w:i/>
          <w:lang w:val="pt-BR"/>
        </w:rPr>
        <w:t xml:space="preserve"> não está prevista para aditivos na</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Portaria SVS/MS nº 540/1997.</w:t>
      </w:r>
      <w:r w:rsidR="00833CB7" w:rsidRPr="009D6E1A">
        <w:rPr>
          <w:rFonts w:asciiTheme="majorHAnsi" w:hAnsiTheme="majorHAnsi" w:cstheme="majorHAnsi"/>
          <w:i/>
          <w:lang w:val="pt-BR"/>
        </w:rPr>
        <w:t xml:space="preserve"> </w:t>
      </w:r>
    </w:p>
    <w:p w14:paraId="13DFEA85" w14:textId="77777777" w:rsidR="00833CB7" w:rsidRPr="009D6E1A" w:rsidRDefault="004F0B92" w:rsidP="005B6E36">
      <w:pPr>
        <w:jc w:val="both"/>
        <w:rPr>
          <w:rFonts w:asciiTheme="majorHAnsi" w:hAnsiTheme="majorHAnsi" w:cstheme="majorHAnsi"/>
          <w:i/>
          <w:lang w:val="pt-BR"/>
        </w:rPr>
      </w:pPr>
      <w:r w:rsidRPr="009D6E1A">
        <w:rPr>
          <w:rFonts w:asciiTheme="majorHAnsi" w:hAnsiTheme="majorHAnsi" w:cstheme="majorHAnsi"/>
          <w:i/>
          <w:lang w:val="pt-BR"/>
        </w:rPr>
        <w:t>Apesar disso, conforme o art. 6º da RDC nº 243/2018, é possível empregar</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na elaboração de suplementos alimentares outros ingredientes, desde que</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usados exclusivamente para fornecer sabor, cor ou aroma ou para dissolver,</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diluir, dispersar ou alterar sua consistência ou forma. Ingredientes previstos</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 xml:space="preserve">como fontes de </w:t>
      </w:r>
      <w:r w:rsidRPr="009D6E1A">
        <w:rPr>
          <w:rFonts w:asciiTheme="majorHAnsi" w:hAnsiTheme="majorHAnsi" w:cstheme="majorHAnsi"/>
          <w:i/>
          <w:lang w:val="pt-BR"/>
        </w:rPr>
        <w:lastRenderedPageBreak/>
        <w:t>fontes de proteínas, carboidratos, fibras alimentares ou lipídios podem ser adicionados aos suplementos com o propósito de</w:t>
      </w:r>
      <w:r w:rsidR="00833CB7" w:rsidRPr="009D6E1A">
        <w:rPr>
          <w:rFonts w:asciiTheme="majorHAnsi" w:hAnsiTheme="majorHAnsi" w:cstheme="majorHAnsi"/>
          <w:i/>
          <w:lang w:val="pt-BR"/>
        </w:rPr>
        <w:t xml:space="preserve"> </w:t>
      </w:r>
      <w:proofErr w:type="spellStart"/>
      <w:r w:rsidRPr="009D6E1A">
        <w:rPr>
          <w:rFonts w:asciiTheme="majorHAnsi" w:hAnsiTheme="majorHAnsi" w:cstheme="majorHAnsi"/>
          <w:i/>
          <w:lang w:val="pt-BR"/>
        </w:rPr>
        <w:t>crioproteger</w:t>
      </w:r>
      <w:proofErr w:type="spellEnd"/>
      <w:r w:rsidRPr="009D6E1A">
        <w:rPr>
          <w:rFonts w:asciiTheme="majorHAnsi" w:hAnsiTheme="majorHAnsi" w:cstheme="majorHAnsi"/>
          <w:i/>
          <w:lang w:val="pt-BR"/>
        </w:rPr>
        <w:t>.</w:t>
      </w:r>
      <w:r w:rsidR="00833CB7" w:rsidRPr="009D6E1A">
        <w:rPr>
          <w:rFonts w:asciiTheme="majorHAnsi" w:hAnsiTheme="majorHAnsi" w:cstheme="majorHAnsi"/>
          <w:i/>
          <w:lang w:val="pt-BR"/>
        </w:rPr>
        <w:t xml:space="preserve"> </w:t>
      </w:r>
    </w:p>
    <w:p w14:paraId="10349BEE" w14:textId="77777777" w:rsidR="00833CB7" w:rsidRPr="009D6E1A" w:rsidRDefault="004F0B92" w:rsidP="005B6E36">
      <w:pPr>
        <w:jc w:val="both"/>
        <w:rPr>
          <w:rFonts w:asciiTheme="majorHAnsi" w:hAnsiTheme="majorHAnsi" w:cstheme="majorHAnsi"/>
          <w:i/>
          <w:lang w:val="pt-BR"/>
        </w:rPr>
      </w:pPr>
      <w:r w:rsidRPr="009D6E1A">
        <w:rPr>
          <w:rFonts w:asciiTheme="majorHAnsi" w:hAnsiTheme="majorHAnsi" w:cstheme="majorHAnsi"/>
          <w:i/>
          <w:lang w:val="pt-BR"/>
        </w:rPr>
        <w:t>Entretanto, nesses casos, não pode haver qualquer alegação na rotulagem</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ou propaganda que façam menção à suplementação desses nutrientes,</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assim como não são exigidos os limites mínimos estabelecidos. Por outro</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lado, ingredientes previstos como fontes de aminoácidos, vitaminas,</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minerais, substâncias bioativas, enzimas jamais podem ser adicionados aos</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ingredientes “probióticos” que serão utilizados na formulação de</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 xml:space="preserve">suplementos alimentares, com base no art. 6º, V, da RDC nº 243/2018. </w:t>
      </w:r>
    </w:p>
    <w:p w14:paraId="4D4EA1FF" w14:textId="77777777" w:rsidR="00833CB7" w:rsidRPr="009D6E1A" w:rsidRDefault="004F0B92" w:rsidP="005B6E36">
      <w:pPr>
        <w:jc w:val="both"/>
        <w:rPr>
          <w:rFonts w:asciiTheme="majorHAnsi" w:hAnsiTheme="majorHAnsi" w:cstheme="majorHAnsi"/>
          <w:i/>
          <w:lang w:val="pt-BR"/>
        </w:rPr>
      </w:pPr>
      <w:r w:rsidRPr="009D6E1A">
        <w:rPr>
          <w:rFonts w:asciiTheme="majorHAnsi" w:hAnsiTheme="majorHAnsi" w:cstheme="majorHAnsi"/>
          <w:i/>
          <w:lang w:val="pt-BR"/>
        </w:rPr>
        <w:t xml:space="preserve">Caso a substância </w:t>
      </w:r>
      <w:proofErr w:type="spellStart"/>
      <w:r w:rsidRPr="009D6E1A">
        <w:rPr>
          <w:rFonts w:asciiTheme="majorHAnsi" w:hAnsiTheme="majorHAnsi" w:cstheme="majorHAnsi"/>
          <w:i/>
          <w:lang w:val="pt-BR"/>
        </w:rPr>
        <w:t>crioprotetora</w:t>
      </w:r>
      <w:proofErr w:type="spellEnd"/>
      <w:r w:rsidRPr="009D6E1A">
        <w:rPr>
          <w:rFonts w:asciiTheme="majorHAnsi" w:hAnsiTheme="majorHAnsi" w:cstheme="majorHAnsi"/>
          <w:i/>
          <w:lang w:val="pt-BR"/>
        </w:rPr>
        <w:t xml:space="preserve"> seja uma substância autorizada como</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aditivo alimentar, o artigo 6° não se aplica. Neste caso, pode ser aplicado</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o racional inverso do princípio da transferência permitido pelo parágrafo 2º</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do art. 3º da RDC nº 239/2018, ou seja, o aditivo alimentar que estiver</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permitido para o suplemento alimentar está</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permitido para o ingrediente</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(linhagem probiótica) que entra em sua formulação, desde que seja</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atendido o disposto no art. 2° da RDC nº 239/2018, ou seja, desde que sejam</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 xml:space="preserve">atendidos os limites no </w:t>
      </w:r>
      <w:proofErr w:type="gramStart"/>
      <w:r w:rsidRPr="009D6E1A">
        <w:rPr>
          <w:rFonts w:asciiTheme="majorHAnsi" w:hAnsiTheme="majorHAnsi" w:cstheme="majorHAnsi"/>
          <w:i/>
          <w:lang w:val="pt-BR"/>
        </w:rPr>
        <w:t>produto final</w:t>
      </w:r>
      <w:proofErr w:type="gramEnd"/>
      <w:r w:rsidRPr="009D6E1A">
        <w:rPr>
          <w:rFonts w:asciiTheme="majorHAnsi" w:hAnsiTheme="majorHAnsi" w:cstheme="majorHAnsi"/>
          <w:i/>
          <w:lang w:val="pt-BR"/>
        </w:rPr>
        <w:t xml:space="preserve"> (suplemento alimentar).</w:t>
      </w:r>
      <w:r w:rsidR="00833CB7" w:rsidRPr="009D6E1A">
        <w:rPr>
          <w:rFonts w:asciiTheme="majorHAnsi" w:hAnsiTheme="majorHAnsi" w:cstheme="majorHAnsi"/>
          <w:i/>
          <w:lang w:val="pt-BR"/>
        </w:rPr>
        <w:t xml:space="preserve"> </w:t>
      </w:r>
    </w:p>
    <w:p w14:paraId="5CA997BD" w14:textId="77777777" w:rsidR="004F0B92" w:rsidRPr="009D6E1A" w:rsidRDefault="004F0B92" w:rsidP="004F0B92">
      <w:pPr>
        <w:rPr>
          <w:rFonts w:asciiTheme="majorHAnsi" w:hAnsiTheme="majorHAnsi" w:cstheme="majorHAnsi"/>
          <w:i/>
          <w:lang w:val="pt-BR"/>
        </w:rPr>
      </w:pPr>
      <w:r w:rsidRPr="009D6E1A">
        <w:rPr>
          <w:rFonts w:asciiTheme="majorHAnsi" w:hAnsiTheme="majorHAnsi" w:cstheme="majorHAnsi"/>
          <w:i/>
          <w:lang w:val="pt-BR"/>
        </w:rPr>
        <w:t xml:space="preserve">Para aquelas substâncias </w:t>
      </w:r>
      <w:proofErr w:type="spellStart"/>
      <w:r w:rsidRPr="009D6E1A">
        <w:rPr>
          <w:rFonts w:asciiTheme="majorHAnsi" w:hAnsiTheme="majorHAnsi" w:cstheme="majorHAnsi"/>
          <w:i/>
          <w:lang w:val="pt-BR"/>
        </w:rPr>
        <w:t>crioprotetoras</w:t>
      </w:r>
      <w:proofErr w:type="spellEnd"/>
      <w:r w:rsidRPr="009D6E1A">
        <w:rPr>
          <w:rFonts w:asciiTheme="majorHAnsi" w:hAnsiTheme="majorHAnsi" w:cstheme="majorHAnsi"/>
          <w:i/>
          <w:lang w:val="pt-BR"/>
        </w:rPr>
        <w:t xml:space="preserve"> não previstas nas situações</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supracitadas, o interessado deverá solicitar a autorização de uso da</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substância, por meio de petição específica para inclusão ou extensão de</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uso de aditivos alimentares e coadjuvantes de</w:t>
      </w:r>
      <w:r w:rsidR="00833CB7" w:rsidRPr="009D6E1A">
        <w:rPr>
          <w:rFonts w:asciiTheme="majorHAnsi" w:hAnsiTheme="majorHAnsi" w:cstheme="majorHAnsi"/>
          <w:i/>
          <w:lang w:val="pt-BR"/>
        </w:rPr>
        <w:t xml:space="preserve"> </w:t>
      </w:r>
      <w:r w:rsidRPr="009D6E1A">
        <w:rPr>
          <w:rFonts w:asciiTheme="majorHAnsi" w:hAnsiTheme="majorHAnsi" w:cstheme="majorHAnsi"/>
          <w:i/>
          <w:lang w:val="pt-BR"/>
        </w:rPr>
        <w:t>tecnologia.</w:t>
      </w:r>
    </w:p>
    <w:p w14:paraId="712F2146" w14:textId="77777777" w:rsidR="004F0B92" w:rsidRPr="009D6E1A" w:rsidRDefault="004F0B92" w:rsidP="006A0883">
      <w:pPr>
        <w:rPr>
          <w:rFonts w:asciiTheme="majorHAnsi" w:hAnsiTheme="majorHAnsi" w:cstheme="majorHAnsi"/>
          <w:lang w:val="pt-BR"/>
        </w:rPr>
      </w:pPr>
    </w:p>
    <w:p w14:paraId="381C5EAF" w14:textId="77777777" w:rsidR="00833CB7" w:rsidRPr="009D6E1A" w:rsidRDefault="00833CB7" w:rsidP="005B6E36">
      <w:pPr>
        <w:jc w:val="both"/>
        <w:rPr>
          <w:rFonts w:asciiTheme="majorHAnsi" w:hAnsiTheme="majorHAnsi" w:cstheme="majorHAnsi"/>
          <w:lang w:val="pt-BR"/>
        </w:rPr>
      </w:pPr>
      <w:r w:rsidRPr="009D6E1A">
        <w:rPr>
          <w:rFonts w:asciiTheme="majorHAnsi" w:hAnsiTheme="majorHAnsi" w:cstheme="majorHAnsi"/>
          <w:lang w:val="pt-BR"/>
        </w:rPr>
        <w:t xml:space="preserve">Os </w:t>
      </w:r>
      <w:proofErr w:type="spellStart"/>
      <w:r w:rsidRPr="009D6E1A">
        <w:rPr>
          <w:rFonts w:asciiTheme="majorHAnsi" w:hAnsiTheme="majorHAnsi" w:cstheme="majorHAnsi"/>
          <w:lang w:val="pt-BR"/>
        </w:rPr>
        <w:t>crioprotetores</w:t>
      </w:r>
      <w:proofErr w:type="spellEnd"/>
      <w:r w:rsidRPr="009D6E1A">
        <w:rPr>
          <w:rFonts w:asciiTheme="majorHAnsi" w:hAnsiTheme="majorHAnsi" w:cstheme="majorHAnsi"/>
          <w:lang w:val="pt-BR"/>
        </w:rPr>
        <w:t xml:space="preserve"> não são substâncias utilizadas na fabricação de suplem</w:t>
      </w:r>
      <w:r w:rsidR="0049164D" w:rsidRPr="009D6E1A">
        <w:rPr>
          <w:rFonts w:asciiTheme="majorHAnsi" w:hAnsiTheme="majorHAnsi" w:cstheme="majorHAnsi"/>
          <w:lang w:val="pt-BR"/>
        </w:rPr>
        <w:t>en</w:t>
      </w:r>
      <w:r w:rsidRPr="009D6E1A">
        <w:rPr>
          <w:rFonts w:asciiTheme="majorHAnsi" w:hAnsiTheme="majorHAnsi" w:cstheme="majorHAnsi"/>
          <w:lang w:val="pt-BR"/>
        </w:rPr>
        <w:t>tos, ma</w:t>
      </w:r>
      <w:r w:rsidR="0049164D" w:rsidRPr="009D6E1A">
        <w:rPr>
          <w:rFonts w:asciiTheme="majorHAnsi" w:hAnsiTheme="majorHAnsi" w:cstheme="majorHAnsi"/>
          <w:lang w:val="pt-BR"/>
        </w:rPr>
        <w:t>s</w:t>
      </w:r>
      <w:r w:rsidRPr="009D6E1A">
        <w:rPr>
          <w:rFonts w:asciiTheme="majorHAnsi" w:hAnsiTheme="majorHAnsi" w:cstheme="majorHAnsi"/>
          <w:lang w:val="pt-BR"/>
        </w:rPr>
        <w:t xml:space="preserve"> sim no processo de fermentação de </w:t>
      </w:r>
      <w:proofErr w:type="spellStart"/>
      <w:r w:rsidRPr="009D6E1A">
        <w:rPr>
          <w:rFonts w:asciiTheme="majorHAnsi" w:hAnsiTheme="majorHAnsi" w:cstheme="majorHAnsi"/>
          <w:lang w:val="pt-BR"/>
        </w:rPr>
        <w:t>microorganismos</w:t>
      </w:r>
      <w:proofErr w:type="spellEnd"/>
      <w:r w:rsidRPr="009D6E1A">
        <w:rPr>
          <w:rFonts w:asciiTheme="majorHAnsi" w:hAnsiTheme="majorHAnsi" w:cstheme="majorHAnsi"/>
          <w:lang w:val="pt-BR"/>
        </w:rPr>
        <w:t xml:space="preserve"> utilizados como matérias-primas em </w:t>
      </w:r>
      <w:r w:rsidR="001B0621">
        <w:rPr>
          <w:rFonts w:asciiTheme="majorHAnsi" w:hAnsiTheme="majorHAnsi" w:cstheme="majorHAnsi"/>
          <w:lang w:val="pt-BR"/>
        </w:rPr>
        <w:t xml:space="preserve">diversas categorias de alimentos, dentre elas os </w:t>
      </w:r>
      <w:r w:rsidRPr="009D6E1A">
        <w:rPr>
          <w:rFonts w:asciiTheme="majorHAnsi" w:hAnsiTheme="majorHAnsi" w:cstheme="majorHAnsi"/>
          <w:lang w:val="pt-BR"/>
        </w:rPr>
        <w:t xml:space="preserve">suplementos. Conforme dito anteriormente, o propósito de uso não está relacionado à dispersão de microrganismos. Além disso,  condicionar a escolha de </w:t>
      </w:r>
      <w:proofErr w:type="spellStart"/>
      <w:r w:rsidRPr="009D6E1A">
        <w:rPr>
          <w:rFonts w:asciiTheme="majorHAnsi" w:hAnsiTheme="majorHAnsi" w:cstheme="majorHAnsi"/>
          <w:lang w:val="pt-BR"/>
        </w:rPr>
        <w:t>crioprotetores</w:t>
      </w:r>
      <w:proofErr w:type="spellEnd"/>
      <w:r w:rsidRPr="009D6E1A">
        <w:rPr>
          <w:rFonts w:asciiTheme="majorHAnsi" w:hAnsiTheme="majorHAnsi" w:cstheme="majorHAnsi"/>
          <w:lang w:val="pt-BR"/>
        </w:rPr>
        <w:t xml:space="preserve"> somente a substâncias que estejam aprovadas nos produtos onde a matéria-prima será utilizada e caso contrário exigir que seja protocolado um pedido de extensão de uso mostra-se um </w:t>
      </w:r>
      <w:proofErr w:type="spellStart"/>
      <w:r w:rsidRPr="009D6E1A">
        <w:rPr>
          <w:rFonts w:asciiTheme="majorHAnsi" w:hAnsiTheme="majorHAnsi" w:cstheme="majorHAnsi"/>
          <w:lang w:val="pt-BR"/>
        </w:rPr>
        <w:t>criterio</w:t>
      </w:r>
      <w:proofErr w:type="spellEnd"/>
      <w:r w:rsidRPr="009D6E1A">
        <w:rPr>
          <w:rFonts w:asciiTheme="majorHAnsi" w:hAnsiTheme="majorHAnsi" w:cstheme="majorHAnsi"/>
          <w:lang w:val="pt-BR"/>
        </w:rPr>
        <w:t xml:space="preserve"> incoerente e inadequado, uma vez que tais pedidos exigem que sejam apresentadas justificativas tecnológicas</w:t>
      </w:r>
      <w:r w:rsidR="0049164D" w:rsidRPr="009D6E1A">
        <w:rPr>
          <w:rFonts w:asciiTheme="majorHAnsi" w:hAnsiTheme="majorHAnsi" w:cstheme="majorHAnsi"/>
          <w:lang w:val="pt-BR"/>
        </w:rPr>
        <w:t xml:space="preserve"> para uso da substância no produto final</w:t>
      </w:r>
      <w:r w:rsidRPr="009D6E1A">
        <w:rPr>
          <w:rFonts w:asciiTheme="majorHAnsi" w:hAnsiTheme="majorHAnsi" w:cstheme="majorHAnsi"/>
          <w:lang w:val="pt-BR"/>
        </w:rPr>
        <w:t>, sendo que não é esperada nenhuma função tecnológica deles nos suplementos ou alimentos onde a matéria-prima (</w:t>
      </w:r>
      <w:proofErr w:type="spellStart"/>
      <w:r w:rsidR="001B0621">
        <w:rPr>
          <w:rFonts w:asciiTheme="majorHAnsi" w:hAnsiTheme="majorHAnsi" w:cstheme="majorHAnsi"/>
          <w:lang w:val="pt-BR"/>
        </w:rPr>
        <w:t>microorganismo</w:t>
      </w:r>
      <w:proofErr w:type="spellEnd"/>
      <w:r w:rsidR="001B0621">
        <w:rPr>
          <w:rFonts w:asciiTheme="majorHAnsi" w:hAnsiTheme="majorHAnsi" w:cstheme="majorHAnsi"/>
          <w:lang w:val="pt-BR"/>
        </w:rPr>
        <w:t xml:space="preserve"> cujo processo de fermentação fez uso de </w:t>
      </w:r>
      <w:proofErr w:type="spellStart"/>
      <w:r w:rsidR="001B0621">
        <w:rPr>
          <w:rFonts w:asciiTheme="majorHAnsi" w:hAnsiTheme="majorHAnsi" w:cstheme="majorHAnsi"/>
          <w:lang w:val="pt-BR"/>
        </w:rPr>
        <w:t>crioprotetores</w:t>
      </w:r>
      <w:proofErr w:type="spellEnd"/>
      <w:r w:rsidRPr="009D6E1A">
        <w:rPr>
          <w:rFonts w:asciiTheme="majorHAnsi" w:hAnsiTheme="majorHAnsi" w:cstheme="majorHAnsi"/>
          <w:lang w:val="pt-BR"/>
        </w:rPr>
        <w:t>) será adicionada.</w:t>
      </w:r>
    </w:p>
    <w:p w14:paraId="33693AEA" w14:textId="77777777" w:rsidR="004F0B92" w:rsidRPr="009D6E1A" w:rsidRDefault="004F0B92" w:rsidP="005B6E36">
      <w:pPr>
        <w:jc w:val="both"/>
        <w:rPr>
          <w:rFonts w:asciiTheme="majorHAnsi" w:hAnsiTheme="majorHAnsi" w:cstheme="majorHAnsi"/>
          <w:lang w:val="pt-BR"/>
        </w:rPr>
      </w:pPr>
    </w:p>
    <w:p w14:paraId="6705E697" w14:textId="77777777" w:rsidR="00D141DF" w:rsidRPr="009D6E1A" w:rsidRDefault="00D141DF" w:rsidP="005B6E36">
      <w:pPr>
        <w:jc w:val="both"/>
        <w:rPr>
          <w:rFonts w:asciiTheme="majorHAnsi" w:hAnsiTheme="majorHAnsi" w:cstheme="majorHAnsi"/>
          <w:lang w:val="pt-BR"/>
        </w:rPr>
      </w:pPr>
      <w:r w:rsidRPr="009D6E1A">
        <w:rPr>
          <w:rFonts w:asciiTheme="majorHAnsi" w:hAnsiTheme="majorHAnsi" w:cstheme="majorHAnsi"/>
          <w:lang w:val="pt-BR"/>
        </w:rPr>
        <w:t xml:space="preserve">Entendemos que ainda estamos em um momento de amadurecimento das tratativas adotadas para probióticos e que mudanças de entendimento podem ocorrer, no entanto, o setor espera que permaneça a manutenção do diálogo tão bem conduzido no início do processo de criação do marco regulatório. </w:t>
      </w:r>
    </w:p>
    <w:p w14:paraId="686C28E9" w14:textId="07228719" w:rsidR="006A0883" w:rsidRPr="009D6E1A" w:rsidRDefault="00D141DF" w:rsidP="005B6E36">
      <w:pPr>
        <w:jc w:val="both"/>
        <w:rPr>
          <w:rFonts w:asciiTheme="majorHAnsi" w:hAnsiTheme="majorHAnsi" w:cstheme="majorHAnsi"/>
          <w:lang w:val="pt-BR"/>
        </w:rPr>
      </w:pPr>
      <w:r w:rsidRPr="009D6E1A">
        <w:rPr>
          <w:rFonts w:asciiTheme="majorHAnsi" w:hAnsiTheme="majorHAnsi" w:cstheme="majorHAnsi"/>
          <w:lang w:val="pt-BR"/>
        </w:rPr>
        <w:t xml:space="preserve">A adoção de novos </w:t>
      </w:r>
      <w:r w:rsidR="00AE24EC" w:rsidRPr="009D6E1A">
        <w:rPr>
          <w:rFonts w:asciiTheme="majorHAnsi" w:hAnsiTheme="majorHAnsi" w:cstheme="majorHAnsi"/>
          <w:lang w:val="pt-BR"/>
        </w:rPr>
        <w:t>critérios</w:t>
      </w:r>
      <w:r w:rsidRPr="009D6E1A">
        <w:rPr>
          <w:rFonts w:asciiTheme="majorHAnsi" w:hAnsiTheme="majorHAnsi" w:cstheme="majorHAnsi"/>
          <w:lang w:val="pt-BR"/>
        </w:rPr>
        <w:t xml:space="preserve"> para comprovação de eficácia sem um diálogo prévio explicando as motivações e de tratativas ainda não regulamentadas para aprovação de uso de </w:t>
      </w:r>
      <w:proofErr w:type="spellStart"/>
      <w:r w:rsidRPr="009D6E1A">
        <w:rPr>
          <w:rFonts w:asciiTheme="majorHAnsi" w:hAnsiTheme="majorHAnsi" w:cstheme="majorHAnsi"/>
          <w:lang w:val="pt-BR"/>
        </w:rPr>
        <w:t>crioprotetores</w:t>
      </w:r>
      <w:proofErr w:type="spellEnd"/>
      <w:r w:rsidRPr="009D6E1A">
        <w:rPr>
          <w:rFonts w:asciiTheme="majorHAnsi" w:hAnsiTheme="majorHAnsi" w:cstheme="majorHAnsi"/>
          <w:lang w:val="pt-BR"/>
        </w:rPr>
        <w:t xml:space="preserve"> traz insegurança jurídica ao setor e fere a</w:t>
      </w:r>
      <w:r w:rsidR="006A0883" w:rsidRPr="009D6E1A">
        <w:rPr>
          <w:rFonts w:asciiTheme="majorHAnsi" w:hAnsiTheme="majorHAnsi" w:cstheme="majorHAnsi"/>
          <w:lang w:val="pt-BR"/>
        </w:rPr>
        <w:t xml:space="preserve"> Lei 13</w:t>
      </w:r>
      <w:r w:rsidR="00AE24EC">
        <w:rPr>
          <w:rFonts w:asciiTheme="majorHAnsi" w:hAnsiTheme="majorHAnsi" w:cstheme="majorHAnsi"/>
          <w:lang w:val="pt-BR"/>
        </w:rPr>
        <w:t>.</w:t>
      </w:r>
      <w:r w:rsidR="006A0883" w:rsidRPr="009D6E1A">
        <w:rPr>
          <w:rFonts w:asciiTheme="majorHAnsi" w:hAnsiTheme="majorHAnsi" w:cstheme="majorHAnsi"/>
          <w:lang w:val="pt-BR"/>
        </w:rPr>
        <w:t>784/19 (Lei da liberdade econômica)</w:t>
      </w:r>
      <w:r w:rsidRPr="009D6E1A">
        <w:rPr>
          <w:rFonts w:asciiTheme="majorHAnsi" w:hAnsiTheme="majorHAnsi" w:cstheme="majorHAnsi"/>
          <w:lang w:val="pt-BR"/>
        </w:rPr>
        <w:t xml:space="preserve">, que </w:t>
      </w:r>
      <w:r w:rsidR="006A0883" w:rsidRPr="009D6E1A">
        <w:rPr>
          <w:rFonts w:asciiTheme="majorHAnsi" w:hAnsiTheme="majorHAnsi" w:cstheme="majorHAnsi"/>
          <w:lang w:val="pt-BR"/>
        </w:rPr>
        <w:t>estabelece, no contexto das garantias de livre iniciativa</w:t>
      </w:r>
      <w:r w:rsidR="00E645A6" w:rsidRPr="009D6E1A">
        <w:rPr>
          <w:rFonts w:asciiTheme="majorHAnsi" w:hAnsiTheme="majorHAnsi" w:cstheme="majorHAnsi"/>
          <w:lang w:val="pt-BR"/>
        </w:rPr>
        <w:t>:</w:t>
      </w:r>
    </w:p>
    <w:p w14:paraId="186A6EBB" w14:textId="77777777" w:rsidR="006A0883" w:rsidRPr="009D6E1A" w:rsidRDefault="006A0883" w:rsidP="005B6E36">
      <w:pPr>
        <w:jc w:val="both"/>
        <w:rPr>
          <w:rFonts w:asciiTheme="majorHAnsi" w:hAnsiTheme="majorHAnsi" w:cstheme="majorHAnsi"/>
          <w:b/>
          <w:i/>
          <w:lang w:val="pt-BR"/>
        </w:rPr>
      </w:pPr>
      <w:r w:rsidRPr="009D6E1A">
        <w:rPr>
          <w:rFonts w:asciiTheme="majorHAnsi" w:hAnsiTheme="majorHAnsi" w:cstheme="majorHAnsi"/>
          <w:b/>
          <w:i/>
          <w:lang w:val="pt-BR"/>
        </w:rPr>
        <w:t xml:space="preserve">Art. 4º É dever da administração pública e das demais entidades que se vinculam a esta Lei, no exercício de regulamentação de norma pública pertencente à legislação sobre a qual esta Lei versa, exceto se em estrito cumprimento a previsão explícita em lei, evitar o abuso do poder regulatório de maneira a, indevidamente: </w:t>
      </w:r>
    </w:p>
    <w:p w14:paraId="4626A79E" w14:textId="77777777" w:rsidR="006A0883" w:rsidRDefault="006A0883" w:rsidP="005B6E36">
      <w:pPr>
        <w:jc w:val="both"/>
        <w:rPr>
          <w:rFonts w:asciiTheme="majorHAnsi" w:hAnsiTheme="majorHAnsi" w:cstheme="majorHAnsi"/>
          <w:i/>
          <w:lang w:val="pt-BR"/>
        </w:rPr>
      </w:pPr>
      <w:r w:rsidRPr="009D6E1A">
        <w:rPr>
          <w:rFonts w:asciiTheme="majorHAnsi" w:hAnsiTheme="majorHAnsi" w:cstheme="majorHAnsi"/>
          <w:i/>
          <w:lang w:val="pt-BR"/>
        </w:rPr>
        <w:t xml:space="preserve">I - </w:t>
      </w:r>
      <w:proofErr w:type="gramStart"/>
      <w:r w:rsidRPr="009D6E1A">
        <w:rPr>
          <w:rFonts w:asciiTheme="majorHAnsi" w:hAnsiTheme="majorHAnsi" w:cstheme="majorHAnsi"/>
          <w:i/>
          <w:lang w:val="pt-BR"/>
        </w:rPr>
        <w:t>criar</w:t>
      </w:r>
      <w:proofErr w:type="gramEnd"/>
      <w:r w:rsidRPr="009D6E1A">
        <w:rPr>
          <w:rFonts w:asciiTheme="majorHAnsi" w:hAnsiTheme="majorHAnsi" w:cstheme="majorHAnsi"/>
          <w:i/>
          <w:lang w:val="pt-BR"/>
        </w:rPr>
        <w:t xml:space="preserve"> reserva de mercado ao favorecer, na regulação, grupo econômico, ou profissional, em prejuízo dos demais concorrentes; </w:t>
      </w:r>
    </w:p>
    <w:p w14:paraId="52A5898C" w14:textId="77777777" w:rsidR="00AE24EC" w:rsidRDefault="00AE24EC" w:rsidP="005B6E36">
      <w:pPr>
        <w:jc w:val="both"/>
        <w:rPr>
          <w:rFonts w:asciiTheme="majorHAnsi" w:hAnsiTheme="majorHAnsi" w:cstheme="majorHAnsi"/>
          <w:i/>
          <w:lang w:val="pt-BR"/>
        </w:rPr>
      </w:pPr>
    </w:p>
    <w:p w14:paraId="339A93EE" w14:textId="77777777" w:rsidR="00AE24EC" w:rsidRDefault="00AE24EC" w:rsidP="005B6E36">
      <w:pPr>
        <w:jc w:val="both"/>
        <w:rPr>
          <w:rFonts w:asciiTheme="majorHAnsi" w:hAnsiTheme="majorHAnsi" w:cstheme="majorHAnsi"/>
          <w:i/>
          <w:lang w:val="pt-BR"/>
        </w:rPr>
      </w:pPr>
    </w:p>
    <w:p w14:paraId="53F92E44" w14:textId="77777777" w:rsidR="006A0883" w:rsidRPr="009D6E1A" w:rsidRDefault="006A0883" w:rsidP="005B6E36">
      <w:pPr>
        <w:jc w:val="both"/>
        <w:rPr>
          <w:rFonts w:asciiTheme="majorHAnsi" w:hAnsiTheme="majorHAnsi" w:cstheme="majorHAnsi"/>
          <w:b/>
          <w:i/>
          <w:lang w:val="pt-BR"/>
        </w:rPr>
      </w:pPr>
      <w:r w:rsidRPr="009D6E1A">
        <w:rPr>
          <w:rFonts w:asciiTheme="majorHAnsi" w:hAnsiTheme="majorHAnsi" w:cstheme="majorHAnsi"/>
          <w:b/>
          <w:i/>
          <w:lang w:val="pt-BR"/>
        </w:rPr>
        <w:t xml:space="preserve">II - </w:t>
      </w:r>
      <w:proofErr w:type="gramStart"/>
      <w:r w:rsidRPr="009D6E1A">
        <w:rPr>
          <w:rFonts w:asciiTheme="majorHAnsi" w:hAnsiTheme="majorHAnsi" w:cstheme="majorHAnsi"/>
          <w:b/>
          <w:i/>
          <w:lang w:val="pt-BR"/>
        </w:rPr>
        <w:t>redigir</w:t>
      </w:r>
      <w:proofErr w:type="gramEnd"/>
      <w:r w:rsidRPr="009D6E1A">
        <w:rPr>
          <w:rFonts w:asciiTheme="majorHAnsi" w:hAnsiTheme="majorHAnsi" w:cstheme="majorHAnsi"/>
          <w:b/>
          <w:i/>
          <w:lang w:val="pt-BR"/>
        </w:rPr>
        <w:t xml:space="preserve"> enunciados que impeçam a entrada de novos competidores nacionais ou estrangeiros no mercado; </w:t>
      </w:r>
    </w:p>
    <w:p w14:paraId="1970C6B0" w14:textId="77777777" w:rsidR="006A0883" w:rsidRPr="009D6E1A" w:rsidRDefault="006A0883" w:rsidP="005B6E36">
      <w:pPr>
        <w:jc w:val="both"/>
        <w:rPr>
          <w:rFonts w:asciiTheme="majorHAnsi" w:hAnsiTheme="majorHAnsi" w:cstheme="majorHAnsi"/>
          <w:b/>
          <w:i/>
          <w:lang w:val="pt-BR"/>
        </w:rPr>
      </w:pPr>
      <w:r w:rsidRPr="009D6E1A">
        <w:rPr>
          <w:rFonts w:asciiTheme="majorHAnsi" w:hAnsiTheme="majorHAnsi" w:cstheme="majorHAnsi"/>
          <w:b/>
          <w:i/>
          <w:lang w:val="pt-BR"/>
        </w:rPr>
        <w:t xml:space="preserve">III - exigir especificação técnica que não seja necessária para atingir o fim desejado; </w:t>
      </w:r>
    </w:p>
    <w:p w14:paraId="16831B91" w14:textId="77777777" w:rsidR="006A0883" w:rsidRPr="009D6E1A" w:rsidRDefault="006A0883" w:rsidP="005B6E36">
      <w:pPr>
        <w:jc w:val="both"/>
        <w:rPr>
          <w:rFonts w:asciiTheme="majorHAnsi" w:hAnsiTheme="majorHAnsi" w:cstheme="majorHAnsi"/>
          <w:b/>
          <w:i/>
          <w:lang w:val="pt-BR"/>
        </w:rPr>
      </w:pPr>
      <w:r w:rsidRPr="009D6E1A">
        <w:rPr>
          <w:rFonts w:asciiTheme="majorHAnsi" w:hAnsiTheme="majorHAnsi" w:cstheme="majorHAnsi"/>
          <w:b/>
          <w:i/>
          <w:lang w:val="pt-BR"/>
        </w:rPr>
        <w:t xml:space="preserve">IV - </w:t>
      </w:r>
      <w:proofErr w:type="gramStart"/>
      <w:r w:rsidRPr="009D6E1A">
        <w:rPr>
          <w:rFonts w:asciiTheme="majorHAnsi" w:hAnsiTheme="majorHAnsi" w:cstheme="majorHAnsi"/>
          <w:b/>
          <w:i/>
          <w:lang w:val="pt-BR"/>
        </w:rPr>
        <w:t>redigir</w:t>
      </w:r>
      <w:proofErr w:type="gramEnd"/>
      <w:r w:rsidRPr="009D6E1A">
        <w:rPr>
          <w:rFonts w:asciiTheme="majorHAnsi" w:hAnsiTheme="majorHAnsi" w:cstheme="majorHAnsi"/>
          <w:b/>
          <w:i/>
          <w:lang w:val="pt-BR"/>
        </w:rPr>
        <w:t xml:space="preserve"> enunciados que impeçam ou retardem a inovação e a adoção de novas tecnologias, processos ou modelos de negócios, ressalvadas as situações consideradas em regulamento como de alto risco; </w:t>
      </w:r>
    </w:p>
    <w:p w14:paraId="3EC5440C" w14:textId="77777777" w:rsidR="006A0883" w:rsidRPr="009D6E1A" w:rsidRDefault="006A0883" w:rsidP="005B6E36">
      <w:pPr>
        <w:jc w:val="both"/>
        <w:rPr>
          <w:rFonts w:asciiTheme="majorHAnsi" w:hAnsiTheme="majorHAnsi" w:cstheme="majorHAnsi"/>
          <w:i/>
          <w:lang w:val="pt-BR"/>
        </w:rPr>
      </w:pPr>
      <w:r w:rsidRPr="009D6E1A">
        <w:rPr>
          <w:rFonts w:asciiTheme="majorHAnsi" w:hAnsiTheme="majorHAnsi" w:cstheme="majorHAnsi"/>
          <w:i/>
          <w:lang w:val="pt-BR"/>
        </w:rPr>
        <w:t xml:space="preserve">V - </w:t>
      </w:r>
      <w:proofErr w:type="gramStart"/>
      <w:r w:rsidRPr="009D6E1A">
        <w:rPr>
          <w:rFonts w:asciiTheme="majorHAnsi" w:hAnsiTheme="majorHAnsi" w:cstheme="majorHAnsi"/>
          <w:i/>
          <w:lang w:val="pt-BR"/>
        </w:rPr>
        <w:t>aumentar</w:t>
      </w:r>
      <w:proofErr w:type="gramEnd"/>
      <w:r w:rsidRPr="009D6E1A">
        <w:rPr>
          <w:rFonts w:asciiTheme="majorHAnsi" w:hAnsiTheme="majorHAnsi" w:cstheme="majorHAnsi"/>
          <w:i/>
          <w:lang w:val="pt-BR"/>
        </w:rPr>
        <w:t xml:space="preserve"> os custos de transação sem demonstração de benefícios; </w:t>
      </w:r>
    </w:p>
    <w:p w14:paraId="30D046F1" w14:textId="77777777" w:rsidR="006A0883" w:rsidRPr="009D6E1A" w:rsidRDefault="006A0883" w:rsidP="005B6E36">
      <w:pPr>
        <w:jc w:val="both"/>
        <w:rPr>
          <w:rFonts w:asciiTheme="majorHAnsi" w:hAnsiTheme="majorHAnsi" w:cstheme="majorHAnsi"/>
          <w:i/>
          <w:lang w:val="pt-BR"/>
        </w:rPr>
      </w:pPr>
      <w:r w:rsidRPr="009D6E1A">
        <w:rPr>
          <w:rFonts w:asciiTheme="majorHAnsi" w:hAnsiTheme="majorHAnsi" w:cstheme="majorHAnsi"/>
          <w:i/>
          <w:lang w:val="pt-BR"/>
        </w:rPr>
        <w:t xml:space="preserve">VI - </w:t>
      </w:r>
      <w:proofErr w:type="gramStart"/>
      <w:r w:rsidRPr="009D6E1A">
        <w:rPr>
          <w:rFonts w:asciiTheme="majorHAnsi" w:hAnsiTheme="majorHAnsi" w:cstheme="majorHAnsi"/>
          <w:i/>
          <w:lang w:val="pt-BR"/>
        </w:rPr>
        <w:t>criar</w:t>
      </w:r>
      <w:proofErr w:type="gramEnd"/>
      <w:r w:rsidRPr="009D6E1A">
        <w:rPr>
          <w:rFonts w:asciiTheme="majorHAnsi" w:hAnsiTheme="majorHAnsi" w:cstheme="majorHAnsi"/>
          <w:i/>
          <w:lang w:val="pt-BR"/>
        </w:rPr>
        <w:t xml:space="preserve"> demanda artificial ou compulsória de produto, serviço ou atividade profissional, inclusive de uso de cartórios, registros ou cadastros; </w:t>
      </w:r>
    </w:p>
    <w:p w14:paraId="413E6970" w14:textId="77777777" w:rsidR="006A0883" w:rsidRPr="009D6E1A" w:rsidRDefault="006A0883" w:rsidP="005B6E36">
      <w:pPr>
        <w:jc w:val="both"/>
        <w:rPr>
          <w:rFonts w:asciiTheme="majorHAnsi" w:hAnsiTheme="majorHAnsi" w:cstheme="majorHAnsi"/>
          <w:i/>
          <w:lang w:val="pt-BR"/>
        </w:rPr>
      </w:pPr>
      <w:r w:rsidRPr="009D6E1A">
        <w:rPr>
          <w:rFonts w:asciiTheme="majorHAnsi" w:hAnsiTheme="majorHAnsi" w:cstheme="majorHAnsi"/>
          <w:i/>
          <w:lang w:val="pt-BR"/>
        </w:rPr>
        <w:t xml:space="preserve">VII - introduzir limites à livre formação de sociedades empresariais ou de atividades econômicas; </w:t>
      </w:r>
    </w:p>
    <w:p w14:paraId="125FB805" w14:textId="77777777" w:rsidR="006A0883" w:rsidRPr="009D6E1A" w:rsidRDefault="006A0883" w:rsidP="005B6E36">
      <w:pPr>
        <w:jc w:val="both"/>
        <w:rPr>
          <w:rFonts w:asciiTheme="majorHAnsi" w:hAnsiTheme="majorHAnsi" w:cstheme="majorHAnsi"/>
          <w:i/>
          <w:lang w:val="pt-BR"/>
        </w:rPr>
      </w:pPr>
      <w:r w:rsidRPr="009D6E1A">
        <w:rPr>
          <w:rFonts w:asciiTheme="majorHAnsi" w:hAnsiTheme="majorHAnsi" w:cstheme="majorHAnsi"/>
          <w:i/>
          <w:lang w:val="pt-BR"/>
        </w:rPr>
        <w:t>VIII - restringir o uso e o exercício da publicidade e propaganda sobre um setor econômico, ressalvadas as hipóteses expressamente vedadas em lei federal</w:t>
      </w:r>
    </w:p>
    <w:p w14:paraId="7D23527B" w14:textId="77777777" w:rsidR="00B73E3D" w:rsidRPr="009D6E1A" w:rsidRDefault="00B73E3D" w:rsidP="00425497">
      <w:pPr>
        <w:rPr>
          <w:rFonts w:asciiTheme="majorHAnsi" w:hAnsiTheme="majorHAnsi" w:cstheme="majorHAnsi"/>
          <w:lang w:val="pt-BR"/>
        </w:rPr>
      </w:pPr>
    </w:p>
    <w:p w14:paraId="4F204181" w14:textId="77777777" w:rsidR="00D141DF" w:rsidRDefault="00D141DF" w:rsidP="00425497">
      <w:pPr>
        <w:rPr>
          <w:rFonts w:asciiTheme="majorHAnsi" w:hAnsiTheme="majorHAnsi" w:cstheme="majorHAnsi"/>
          <w:highlight w:val="yellow"/>
          <w:lang w:val="pt-BR"/>
        </w:rPr>
      </w:pPr>
      <w:r w:rsidRPr="009D6E1A">
        <w:rPr>
          <w:rFonts w:asciiTheme="majorHAnsi" w:hAnsiTheme="majorHAnsi" w:cstheme="majorHAnsi"/>
          <w:lang w:val="pt-BR"/>
        </w:rPr>
        <w:t xml:space="preserve">Diante do exposto, </w:t>
      </w:r>
      <w:proofErr w:type="spellStart"/>
      <w:r w:rsidRPr="009D6E1A">
        <w:rPr>
          <w:rFonts w:asciiTheme="majorHAnsi" w:hAnsiTheme="majorHAnsi" w:cstheme="majorHAnsi"/>
          <w:highlight w:val="yellow"/>
          <w:lang w:val="pt-BR"/>
        </w:rPr>
        <w:t>xxxxxxxxxxxxxxx</w:t>
      </w:r>
      <w:proofErr w:type="spellEnd"/>
    </w:p>
    <w:p w14:paraId="237DBF6B" w14:textId="77777777" w:rsidR="00AE0EA9" w:rsidRPr="009D6E1A" w:rsidRDefault="00AE0EA9" w:rsidP="00425497">
      <w:pPr>
        <w:rPr>
          <w:rFonts w:asciiTheme="majorHAnsi" w:hAnsiTheme="majorHAnsi" w:cstheme="majorHAnsi"/>
          <w:lang w:val="pt-BR"/>
        </w:rPr>
      </w:pPr>
      <w:r w:rsidRPr="00AE0EA9">
        <w:rPr>
          <w:rFonts w:asciiTheme="majorHAnsi" w:hAnsiTheme="majorHAnsi" w:cstheme="majorHAnsi"/>
          <w:highlight w:val="yellow"/>
          <w:lang w:val="pt-BR"/>
        </w:rPr>
        <w:t>Agregar informação sobre restrições impostas ao mercado brasileiro?</w:t>
      </w:r>
    </w:p>
    <w:sectPr w:rsidR="00AE0EA9" w:rsidRPr="009D6E1A" w:rsidSect="00025F84">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9AC7" w14:textId="77777777" w:rsidR="00A55BAB" w:rsidRDefault="00A55BAB" w:rsidP="00D56B40">
      <w:pPr>
        <w:spacing w:after="0" w:line="240" w:lineRule="auto"/>
      </w:pPr>
      <w:r>
        <w:separator/>
      </w:r>
    </w:p>
  </w:endnote>
  <w:endnote w:type="continuationSeparator" w:id="0">
    <w:p w14:paraId="718D4FDA" w14:textId="77777777" w:rsidR="00A55BAB" w:rsidRDefault="00A55BAB" w:rsidP="00D5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600433"/>
      <w:docPartObj>
        <w:docPartGallery w:val="Page Numbers (Bottom of Page)"/>
        <w:docPartUnique/>
      </w:docPartObj>
    </w:sdtPr>
    <w:sdtEndPr>
      <w:rPr>
        <w:noProof/>
        <w:sz w:val="16"/>
        <w:szCs w:val="16"/>
      </w:rPr>
    </w:sdtEndPr>
    <w:sdtContent>
      <w:p w14:paraId="7A80268F" w14:textId="77777777" w:rsidR="00D56B40" w:rsidRPr="00D56B40" w:rsidRDefault="00D56B40">
        <w:pPr>
          <w:pStyle w:val="Rodap"/>
          <w:jc w:val="right"/>
          <w:rPr>
            <w:sz w:val="16"/>
            <w:szCs w:val="16"/>
          </w:rPr>
        </w:pPr>
        <w:r w:rsidRPr="00D56B40">
          <w:rPr>
            <w:sz w:val="16"/>
            <w:szCs w:val="16"/>
          </w:rPr>
          <w:fldChar w:fldCharType="begin"/>
        </w:r>
        <w:r w:rsidRPr="00D56B40">
          <w:rPr>
            <w:sz w:val="16"/>
            <w:szCs w:val="16"/>
          </w:rPr>
          <w:instrText xml:space="preserve"> PAGE   \* MERGEFORMAT </w:instrText>
        </w:r>
        <w:r w:rsidRPr="00D56B40">
          <w:rPr>
            <w:sz w:val="16"/>
            <w:szCs w:val="16"/>
          </w:rPr>
          <w:fldChar w:fldCharType="separate"/>
        </w:r>
        <w:r w:rsidR="00A65185">
          <w:rPr>
            <w:noProof/>
            <w:sz w:val="16"/>
            <w:szCs w:val="16"/>
          </w:rPr>
          <w:t>15</w:t>
        </w:r>
        <w:r w:rsidRPr="00D56B40">
          <w:rPr>
            <w:noProof/>
            <w:sz w:val="16"/>
            <w:szCs w:val="16"/>
          </w:rPr>
          <w:fldChar w:fldCharType="end"/>
        </w:r>
      </w:p>
    </w:sdtContent>
  </w:sdt>
  <w:p w14:paraId="21543FFA" w14:textId="77777777" w:rsidR="00D56B40" w:rsidRDefault="00D56B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F58B9" w14:textId="77777777" w:rsidR="00A55BAB" w:rsidRDefault="00A55BAB" w:rsidP="00D56B40">
      <w:pPr>
        <w:spacing w:after="0" w:line="240" w:lineRule="auto"/>
      </w:pPr>
      <w:r>
        <w:separator/>
      </w:r>
    </w:p>
  </w:footnote>
  <w:footnote w:type="continuationSeparator" w:id="0">
    <w:p w14:paraId="3BB1B588" w14:textId="77777777" w:rsidR="00A55BAB" w:rsidRDefault="00A55BAB" w:rsidP="00D56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B8DE" w14:textId="2C7CF7D7" w:rsidR="007B3C98" w:rsidRPr="007B3C98" w:rsidRDefault="007B3C98" w:rsidP="007B3C98">
    <w:pPr>
      <w:pStyle w:val="Cabealho"/>
      <w:jc w:val="center"/>
      <w:rPr>
        <w:b/>
      </w:rPr>
    </w:pPr>
    <w:r w:rsidRPr="007B3C98">
      <w:rPr>
        <w:b/>
      </w:rPr>
      <w:t>COMPILADO DE CONTRIBUIÇÕES RECEBIDAS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D2C"/>
    <w:multiLevelType w:val="hybridMultilevel"/>
    <w:tmpl w:val="6608AAA0"/>
    <w:lvl w:ilvl="0" w:tplc="385EECDA">
      <w:start w:val="1"/>
      <w:numFmt w:val="bullet"/>
      <w:lvlText w:val="•"/>
      <w:lvlJc w:val="left"/>
      <w:pPr>
        <w:tabs>
          <w:tab w:val="num" w:pos="720"/>
        </w:tabs>
        <w:ind w:left="720" w:hanging="360"/>
      </w:pPr>
      <w:rPr>
        <w:rFonts w:ascii="Arial" w:hAnsi="Arial" w:hint="default"/>
      </w:rPr>
    </w:lvl>
    <w:lvl w:ilvl="1" w:tplc="E4B6D328" w:tentative="1">
      <w:start w:val="1"/>
      <w:numFmt w:val="bullet"/>
      <w:lvlText w:val="•"/>
      <w:lvlJc w:val="left"/>
      <w:pPr>
        <w:tabs>
          <w:tab w:val="num" w:pos="1440"/>
        </w:tabs>
        <w:ind w:left="1440" w:hanging="360"/>
      </w:pPr>
      <w:rPr>
        <w:rFonts w:ascii="Arial" w:hAnsi="Arial" w:hint="default"/>
      </w:rPr>
    </w:lvl>
    <w:lvl w:ilvl="2" w:tplc="1C6A68FE" w:tentative="1">
      <w:start w:val="1"/>
      <w:numFmt w:val="bullet"/>
      <w:lvlText w:val="•"/>
      <w:lvlJc w:val="left"/>
      <w:pPr>
        <w:tabs>
          <w:tab w:val="num" w:pos="2160"/>
        </w:tabs>
        <w:ind w:left="2160" w:hanging="360"/>
      </w:pPr>
      <w:rPr>
        <w:rFonts w:ascii="Arial" w:hAnsi="Arial" w:hint="default"/>
      </w:rPr>
    </w:lvl>
    <w:lvl w:ilvl="3" w:tplc="75440B54" w:tentative="1">
      <w:start w:val="1"/>
      <w:numFmt w:val="bullet"/>
      <w:lvlText w:val="•"/>
      <w:lvlJc w:val="left"/>
      <w:pPr>
        <w:tabs>
          <w:tab w:val="num" w:pos="2880"/>
        </w:tabs>
        <w:ind w:left="2880" w:hanging="360"/>
      </w:pPr>
      <w:rPr>
        <w:rFonts w:ascii="Arial" w:hAnsi="Arial" w:hint="default"/>
      </w:rPr>
    </w:lvl>
    <w:lvl w:ilvl="4" w:tplc="01BCCC6A" w:tentative="1">
      <w:start w:val="1"/>
      <w:numFmt w:val="bullet"/>
      <w:lvlText w:val="•"/>
      <w:lvlJc w:val="left"/>
      <w:pPr>
        <w:tabs>
          <w:tab w:val="num" w:pos="3600"/>
        </w:tabs>
        <w:ind w:left="3600" w:hanging="360"/>
      </w:pPr>
      <w:rPr>
        <w:rFonts w:ascii="Arial" w:hAnsi="Arial" w:hint="default"/>
      </w:rPr>
    </w:lvl>
    <w:lvl w:ilvl="5" w:tplc="9C341856" w:tentative="1">
      <w:start w:val="1"/>
      <w:numFmt w:val="bullet"/>
      <w:lvlText w:val="•"/>
      <w:lvlJc w:val="left"/>
      <w:pPr>
        <w:tabs>
          <w:tab w:val="num" w:pos="4320"/>
        </w:tabs>
        <w:ind w:left="4320" w:hanging="360"/>
      </w:pPr>
      <w:rPr>
        <w:rFonts w:ascii="Arial" w:hAnsi="Arial" w:hint="default"/>
      </w:rPr>
    </w:lvl>
    <w:lvl w:ilvl="6" w:tplc="E7F8A594" w:tentative="1">
      <w:start w:val="1"/>
      <w:numFmt w:val="bullet"/>
      <w:lvlText w:val="•"/>
      <w:lvlJc w:val="left"/>
      <w:pPr>
        <w:tabs>
          <w:tab w:val="num" w:pos="5040"/>
        </w:tabs>
        <w:ind w:left="5040" w:hanging="360"/>
      </w:pPr>
      <w:rPr>
        <w:rFonts w:ascii="Arial" w:hAnsi="Arial" w:hint="default"/>
      </w:rPr>
    </w:lvl>
    <w:lvl w:ilvl="7" w:tplc="9F725338" w:tentative="1">
      <w:start w:val="1"/>
      <w:numFmt w:val="bullet"/>
      <w:lvlText w:val="•"/>
      <w:lvlJc w:val="left"/>
      <w:pPr>
        <w:tabs>
          <w:tab w:val="num" w:pos="5760"/>
        </w:tabs>
        <w:ind w:left="5760" w:hanging="360"/>
      </w:pPr>
      <w:rPr>
        <w:rFonts w:ascii="Arial" w:hAnsi="Arial" w:hint="default"/>
      </w:rPr>
    </w:lvl>
    <w:lvl w:ilvl="8" w:tplc="1EBC5A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9A4100"/>
    <w:multiLevelType w:val="hybridMultilevel"/>
    <w:tmpl w:val="BD90EC50"/>
    <w:lvl w:ilvl="0" w:tplc="80E20214">
      <w:start w:val="1"/>
      <w:numFmt w:val="bullet"/>
      <w:lvlText w:val="•"/>
      <w:lvlJc w:val="left"/>
      <w:pPr>
        <w:tabs>
          <w:tab w:val="num" w:pos="720"/>
        </w:tabs>
        <w:ind w:left="720" w:hanging="360"/>
      </w:pPr>
      <w:rPr>
        <w:rFonts w:ascii="Arial" w:hAnsi="Arial" w:hint="default"/>
      </w:rPr>
    </w:lvl>
    <w:lvl w:ilvl="1" w:tplc="32A2B668" w:tentative="1">
      <w:start w:val="1"/>
      <w:numFmt w:val="bullet"/>
      <w:lvlText w:val="•"/>
      <w:lvlJc w:val="left"/>
      <w:pPr>
        <w:tabs>
          <w:tab w:val="num" w:pos="1440"/>
        </w:tabs>
        <w:ind w:left="1440" w:hanging="360"/>
      </w:pPr>
      <w:rPr>
        <w:rFonts w:ascii="Arial" w:hAnsi="Arial" w:hint="default"/>
      </w:rPr>
    </w:lvl>
    <w:lvl w:ilvl="2" w:tplc="625CF3F4" w:tentative="1">
      <w:start w:val="1"/>
      <w:numFmt w:val="bullet"/>
      <w:lvlText w:val="•"/>
      <w:lvlJc w:val="left"/>
      <w:pPr>
        <w:tabs>
          <w:tab w:val="num" w:pos="2160"/>
        </w:tabs>
        <w:ind w:left="2160" w:hanging="360"/>
      </w:pPr>
      <w:rPr>
        <w:rFonts w:ascii="Arial" w:hAnsi="Arial" w:hint="default"/>
      </w:rPr>
    </w:lvl>
    <w:lvl w:ilvl="3" w:tplc="69321578" w:tentative="1">
      <w:start w:val="1"/>
      <w:numFmt w:val="bullet"/>
      <w:lvlText w:val="•"/>
      <w:lvlJc w:val="left"/>
      <w:pPr>
        <w:tabs>
          <w:tab w:val="num" w:pos="2880"/>
        </w:tabs>
        <w:ind w:left="2880" w:hanging="360"/>
      </w:pPr>
      <w:rPr>
        <w:rFonts w:ascii="Arial" w:hAnsi="Arial" w:hint="default"/>
      </w:rPr>
    </w:lvl>
    <w:lvl w:ilvl="4" w:tplc="F9A2627E" w:tentative="1">
      <w:start w:val="1"/>
      <w:numFmt w:val="bullet"/>
      <w:lvlText w:val="•"/>
      <w:lvlJc w:val="left"/>
      <w:pPr>
        <w:tabs>
          <w:tab w:val="num" w:pos="3600"/>
        </w:tabs>
        <w:ind w:left="3600" w:hanging="360"/>
      </w:pPr>
      <w:rPr>
        <w:rFonts w:ascii="Arial" w:hAnsi="Arial" w:hint="default"/>
      </w:rPr>
    </w:lvl>
    <w:lvl w:ilvl="5" w:tplc="DF8EFD30" w:tentative="1">
      <w:start w:val="1"/>
      <w:numFmt w:val="bullet"/>
      <w:lvlText w:val="•"/>
      <w:lvlJc w:val="left"/>
      <w:pPr>
        <w:tabs>
          <w:tab w:val="num" w:pos="4320"/>
        </w:tabs>
        <w:ind w:left="4320" w:hanging="360"/>
      </w:pPr>
      <w:rPr>
        <w:rFonts w:ascii="Arial" w:hAnsi="Arial" w:hint="default"/>
      </w:rPr>
    </w:lvl>
    <w:lvl w:ilvl="6" w:tplc="BD48E8FE" w:tentative="1">
      <w:start w:val="1"/>
      <w:numFmt w:val="bullet"/>
      <w:lvlText w:val="•"/>
      <w:lvlJc w:val="left"/>
      <w:pPr>
        <w:tabs>
          <w:tab w:val="num" w:pos="5040"/>
        </w:tabs>
        <w:ind w:left="5040" w:hanging="360"/>
      </w:pPr>
      <w:rPr>
        <w:rFonts w:ascii="Arial" w:hAnsi="Arial" w:hint="default"/>
      </w:rPr>
    </w:lvl>
    <w:lvl w:ilvl="7" w:tplc="DEF63688" w:tentative="1">
      <w:start w:val="1"/>
      <w:numFmt w:val="bullet"/>
      <w:lvlText w:val="•"/>
      <w:lvlJc w:val="left"/>
      <w:pPr>
        <w:tabs>
          <w:tab w:val="num" w:pos="5760"/>
        </w:tabs>
        <w:ind w:left="5760" w:hanging="360"/>
      </w:pPr>
      <w:rPr>
        <w:rFonts w:ascii="Arial" w:hAnsi="Arial" w:hint="default"/>
      </w:rPr>
    </w:lvl>
    <w:lvl w:ilvl="8" w:tplc="4B402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F37925"/>
    <w:multiLevelType w:val="hybridMultilevel"/>
    <w:tmpl w:val="A104AC68"/>
    <w:lvl w:ilvl="0" w:tplc="BAD4034C">
      <w:start w:val="1"/>
      <w:numFmt w:val="bullet"/>
      <w:lvlText w:val="•"/>
      <w:lvlJc w:val="left"/>
      <w:pPr>
        <w:tabs>
          <w:tab w:val="num" w:pos="720"/>
        </w:tabs>
        <w:ind w:left="720" w:hanging="360"/>
      </w:pPr>
      <w:rPr>
        <w:rFonts w:ascii="Arial" w:hAnsi="Arial" w:hint="default"/>
      </w:rPr>
    </w:lvl>
    <w:lvl w:ilvl="1" w:tplc="EB06FB62" w:tentative="1">
      <w:start w:val="1"/>
      <w:numFmt w:val="bullet"/>
      <w:lvlText w:val="•"/>
      <w:lvlJc w:val="left"/>
      <w:pPr>
        <w:tabs>
          <w:tab w:val="num" w:pos="1440"/>
        </w:tabs>
        <w:ind w:left="1440" w:hanging="360"/>
      </w:pPr>
      <w:rPr>
        <w:rFonts w:ascii="Arial" w:hAnsi="Arial" w:hint="default"/>
      </w:rPr>
    </w:lvl>
    <w:lvl w:ilvl="2" w:tplc="637E5ADE" w:tentative="1">
      <w:start w:val="1"/>
      <w:numFmt w:val="bullet"/>
      <w:lvlText w:val="•"/>
      <w:lvlJc w:val="left"/>
      <w:pPr>
        <w:tabs>
          <w:tab w:val="num" w:pos="2160"/>
        </w:tabs>
        <w:ind w:left="2160" w:hanging="360"/>
      </w:pPr>
      <w:rPr>
        <w:rFonts w:ascii="Arial" w:hAnsi="Arial" w:hint="default"/>
      </w:rPr>
    </w:lvl>
    <w:lvl w:ilvl="3" w:tplc="65968DEC" w:tentative="1">
      <w:start w:val="1"/>
      <w:numFmt w:val="bullet"/>
      <w:lvlText w:val="•"/>
      <w:lvlJc w:val="left"/>
      <w:pPr>
        <w:tabs>
          <w:tab w:val="num" w:pos="2880"/>
        </w:tabs>
        <w:ind w:left="2880" w:hanging="360"/>
      </w:pPr>
      <w:rPr>
        <w:rFonts w:ascii="Arial" w:hAnsi="Arial" w:hint="default"/>
      </w:rPr>
    </w:lvl>
    <w:lvl w:ilvl="4" w:tplc="FCC02052" w:tentative="1">
      <w:start w:val="1"/>
      <w:numFmt w:val="bullet"/>
      <w:lvlText w:val="•"/>
      <w:lvlJc w:val="left"/>
      <w:pPr>
        <w:tabs>
          <w:tab w:val="num" w:pos="3600"/>
        </w:tabs>
        <w:ind w:left="3600" w:hanging="360"/>
      </w:pPr>
      <w:rPr>
        <w:rFonts w:ascii="Arial" w:hAnsi="Arial" w:hint="default"/>
      </w:rPr>
    </w:lvl>
    <w:lvl w:ilvl="5" w:tplc="6ECE4954" w:tentative="1">
      <w:start w:val="1"/>
      <w:numFmt w:val="bullet"/>
      <w:lvlText w:val="•"/>
      <w:lvlJc w:val="left"/>
      <w:pPr>
        <w:tabs>
          <w:tab w:val="num" w:pos="4320"/>
        </w:tabs>
        <w:ind w:left="4320" w:hanging="360"/>
      </w:pPr>
      <w:rPr>
        <w:rFonts w:ascii="Arial" w:hAnsi="Arial" w:hint="default"/>
      </w:rPr>
    </w:lvl>
    <w:lvl w:ilvl="6" w:tplc="990257C0" w:tentative="1">
      <w:start w:val="1"/>
      <w:numFmt w:val="bullet"/>
      <w:lvlText w:val="•"/>
      <w:lvlJc w:val="left"/>
      <w:pPr>
        <w:tabs>
          <w:tab w:val="num" w:pos="5040"/>
        </w:tabs>
        <w:ind w:left="5040" w:hanging="360"/>
      </w:pPr>
      <w:rPr>
        <w:rFonts w:ascii="Arial" w:hAnsi="Arial" w:hint="default"/>
      </w:rPr>
    </w:lvl>
    <w:lvl w:ilvl="7" w:tplc="D2A823F2" w:tentative="1">
      <w:start w:val="1"/>
      <w:numFmt w:val="bullet"/>
      <w:lvlText w:val="•"/>
      <w:lvlJc w:val="left"/>
      <w:pPr>
        <w:tabs>
          <w:tab w:val="num" w:pos="5760"/>
        </w:tabs>
        <w:ind w:left="5760" w:hanging="360"/>
      </w:pPr>
      <w:rPr>
        <w:rFonts w:ascii="Arial" w:hAnsi="Arial" w:hint="default"/>
      </w:rPr>
    </w:lvl>
    <w:lvl w:ilvl="8" w:tplc="7994B2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5E1EB3"/>
    <w:multiLevelType w:val="hybridMultilevel"/>
    <w:tmpl w:val="0010A8F2"/>
    <w:lvl w:ilvl="0" w:tplc="BF0807DA">
      <w:start w:val="1"/>
      <w:numFmt w:val="bullet"/>
      <w:lvlText w:val="•"/>
      <w:lvlJc w:val="left"/>
      <w:pPr>
        <w:tabs>
          <w:tab w:val="num" w:pos="720"/>
        </w:tabs>
        <w:ind w:left="720" w:hanging="360"/>
      </w:pPr>
      <w:rPr>
        <w:rFonts w:ascii="Arial" w:hAnsi="Arial" w:hint="default"/>
      </w:rPr>
    </w:lvl>
    <w:lvl w:ilvl="1" w:tplc="8CA06CFE" w:tentative="1">
      <w:start w:val="1"/>
      <w:numFmt w:val="bullet"/>
      <w:lvlText w:val="•"/>
      <w:lvlJc w:val="left"/>
      <w:pPr>
        <w:tabs>
          <w:tab w:val="num" w:pos="1440"/>
        </w:tabs>
        <w:ind w:left="1440" w:hanging="360"/>
      </w:pPr>
      <w:rPr>
        <w:rFonts w:ascii="Arial" w:hAnsi="Arial" w:hint="default"/>
      </w:rPr>
    </w:lvl>
    <w:lvl w:ilvl="2" w:tplc="ED30E2E2" w:tentative="1">
      <w:start w:val="1"/>
      <w:numFmt w:val="bullet"/>
      <w:lvlText w:val="•"/>
      <w:lvlJc w:val="left"/>
      <w:pPr>
        <w:tabs>
          <w:tab w:val="num" w:pos="2160"/>
        </w:tabs>
        <w:ind w:left="2160" w:hanging="360"/>
      </w:pPr>
      <w:rPr>
        <w:rFonts w:ascii="Arial" w:hAnsi="Arial" w:hint="default"/>
      </w:rPr>
    </w:lvl>
    <w:lvl w:ilvl="3" w:tplc="9EC8F4C4" w:tentative="1">
      <w:start w:val="1"/>
      <w:numFmt w:val="bullet"/>
      <w:lvlText w:val="•"/>
      <w:lvlJc w:val="left"/>
      <w:pPr>
        <w:tabs>
          <w:tab w:val="num" w:pos="2880"/>
        </w:tabs>
        <w:ind w:left="2880" w:hanging="360"/>
      </w:pPr>
      <w:rPr>
        <w:rFonts w:ascii="Arial" w:hAnsi="Arial" w:hint="default"/>
      </w:rPr>
    </w:lvl>
    <w:lvl w:ilvl="4" w:tplc="A1B2D374" w:tentative="1">
      <w:start w:val="1"/>
      <w:numFmt w:val="bullet"/>
      <w:lvlText w:val="•"/>
      <w:lvlJc w:val="left"/>
      <w:pPr>
        <w:tabs>
          <w:tab w:val="num" w:pos="3600"/>
        </w:tabs>
        <w:ind w:left="3600" w:hanging="360"/>
      </w:pPr>
      <w:rPr>
        <w:rFonts w:ascii="Arial" w:hAnsi="Arial" w:hint="default"/>
      </w:rPr>
    </w:lvl>
    <w:lvl w:ilvl="5" w:tplc="8340B476" w:tentative="1">
      <w:start w:val="1"/>
      <w:numFmt w:val="bullet"/>
      <w:lvlText w:val="•"/>
      <w:lvlJc w:val="left"/>
      <w:pPr>
        <w:tabs>
          <w:tab w:val="num" w:pos="4320"/>
        </w:tabs>
        <w:ind w:left="4320" w:hanging="360"/>
      </w:pPr>
      <w:rPr>
        <w:rFonts w:ascii="Arial" w:hAnsi="Arial" w:hint="default"/>
      </w:rPr>
    </w:lvl>
    <w:lvl w:ilvl="6" w:tplc="A0EADC5C" w:tentative="1">
      <w:start w:val="1"/>
      <w:numFmt w:val="bullet"/>
      <w:lvlText w:val="•"/>
      <w:lvlJc w:val="left"/>
      <w:pPr>
        <w:tabs>
          <w:tab w:val="num" w:pos="5040"/>
        </w:tabs>
        <w:ind w:left="5040" w:hanging="360"/>
      </w:pPr>
      <w:rPr>
        <w:rFonts w:ascii="Arial" w:hAnsi="Arial" w:hint="default"/>
      </w:rPr>
    </w:lvl>
    <w:lvl w:ilvl="7" w:tplc="50DC6BB4" w:tentative="1">
      <w:start w:val="1"/>
      <w:numFmt w:val="bullet"/>
      <w:lvlText w:val="•"/>
      <w:lvlJc w:val="left"/>
      <w:pPr>
        <w:tabs>
          <w:tab w:val="num" w:pos="5760"/>
        </w:tabs>
        <w:ind w:left="5760" w:hanging="360"/>
      </w:pPr>
      <w:rPr>
        <w:rFonts w:ascii="Arial" w:hAnsi="Arial" w:hint="default"/>
      </w:rPr>
    </w:lvl>
    <w:lvl w:ilvl="8" w:tplc="742E86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EBE215F"/>
    <w:multiLevelType w:val="hybridMultilevel"/>
    <w:tmpl w:val="FCDC2294"/>
    <w:lvl w:ilvl="0" w:tplc="0DE2EF30">
      <w:start w:val="1"/>
      <w:numFmt w:val="bullet"/>
      <w:lvlText w:val="•"/>
      <w:lvlJc w:val="left"/>
      <w:pPr>
        <w:tabs>
          <w:tab w:val="num" w:pos="720"/>
        </w:tabs>
        <w:ind w:left="720" w:hanging="360"/>
      </w:pPr>
      <w:rPr>
        <w:rFonts w:ascii="Arial" w:hAnsi="Arial" w:hint="default"/>
      </w:rPr>
    </w:lvl>
    <w:lvl w:ilvl="1" w:tplc="BD46E044" w:tentative="1">
      <w:start w:val="1"/>
      <w:numFmt w:val="bullet"/>
      <w:lvlText w:val="•"/>
      <w:lvlJc w:val="left"/>
      <w:pPr>
        <w:tabs>
          <w:tab w:val="num" w:pos="1440"/>
        </w:tabs>
        <w:ind w:left="1440" w:hanging="360"/>
      </w:pPr>
      <w:rPr>
        <w:rFonts w:ascii="Arial" w:hAnsi="Arial" w:hint="default"/>
      </w:rPr>
    </w:lvl>
    <w:lvl w:ilvl="2" w:tplc="1ABC0D4E" w:tentative="1">
      <w:start w:val="1"/>
      <w:numFmt w:val="bullet"/>
      <w:lvlText w:val="•"/>
      <w:lvlJc w:val="left"/>
      <w:pPr>
        <w:tabs>
          <w:tab w:val="num" w:pos="2160"/>
        </w:tabs>
        <w:ind w:left="2160" w:hanging="360"/>
      </w:pPr>
      <w:rPr>
        <w:rFonts w:ascii="Arial" w:hAnsi="Arial" w:hint="default"/>
      </w:rPr>
    </w:lvl>
    <w:lvl w:ilvl="3" w:tplc="B9849CA2" w:tentative="1">
      <w:start w:val="1"/>
      <w:numFmt w:val="bullet"/>
      <w:lvlText w:val="•"/>
      <w:lvlJc w:val="left"/>
      <w:pPr>
        <w:tabs>
          <w:tab w:val="num" w:pos="2880"/>
        </w:tabs>
        <w:ind w:left="2880" w:hanging="360"/>
      </w:pPr>
      <w:rPr>
        <w:rFonts w:ascii="Arial" w:hAnsi="Arial" w:hint="default"/>
      </w:rPr>
    </w:lvl>
    <w:lvl w:ilvl="4" w:tplc="74EE5558" w:tentative="1">
      <w:start w:val="1"/>
      <w:numFmt w:val="bullet"/>
      <w:lvlText w:val="•"/>
      <w:lvlJc w:val="left"/>
      <w:pPr>
        <w:tabs>
          <w:tab w:val="num" w:pos="3600"/>
        </w:tabs>
        <w:ind w:left="3600" w:hanging="360"/>
      </w:pPr>
      <w:rPr>
        <w:rFonts w:ascii="Arial" w:hAnsi="Arial" w:hint="default"/>
      </w:rPr>
    </w:lvl>
    <w:lvl w:ilvl="5" w:tplc="632886E0" w:tentative="1">
      <w:start w:val="1"/>
      <w:numFmt w:val="bullet"/>
      <w:lvlText w:val="•"/>
      <w:lvlJc w:val="left"/>
      <w:pPr>
        <w:tabs>
          <w:tab w:val="num" w:pos="4320"/>
        </w:tabs>
        <w:ind w:left="4320" w:hanging="360"/>
      </w:pPr>
      <w:rPr>
        <w:rFonts w:ascii="Arial" w:hAnsi="Arial" w:hint="default"/>
      </w:rPr>
    </w:lvl>
    <w:lvl w:ilvl="6" w:tplc="D3FE53F8" w:tentative="1">
      <w:start w:val="1"/>
      <w:numFmt w:val="bullet"/>
      <w:lvlText w:val="•"/>
      <w:lvlJc w:val="left"/>
      <w:pPr>
        <w:tabs>
          <w:tab w:val="num" w:pos="5040"/>
        </w:tabs>
        <w:ind w:left="5040" w:hanging="360"/>
      </w:pPr>
      <w:rPr>
        <w:rFonts w:ascii="Arial" w:hAnsi="Arial" w:hint="default"/>
      </w:rPr>
    </w:lvl>
    <w:lvl w:ilvl="7" w:tplc="B4582FD8" w:tentative="1">
      <w:start w:val="1"/>
      <w:numFmt w:val="bullet"/>
      <w:lvlText w:val="•"/>
      <w:lvlJc w:val="left"/>
      <w:pPr>
        <w:tabs>
          <w:tab w:val="num" w:pos="5760"/>
        </w:tabs>
        <w:ind w:left="5760" w:hanging="360"/>
      </w:pPr>
      <w:rPr>
        <w:rFonts w:ascii="Arial" w:hAnsi="Arial" w:hint="default"/>
      </w:rPr>
    </w:lvl>
    <w:lvl w:ilvl="8" w:tplc="EE40C83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EB3"/>
    <w:rsid w:val="00005796"/>
    <w:rsid w:val="00024020"/>
    <w:rsid w:val="00025F84"/>
    <w:rsid w:val="00042040"/>
    <w:rsid w:val="000D456F"/>
    <w:rsid w:val="000F0372"/>
    <w:rsid w:val="00100AE9"/>
    <w:rsid w:val="00117F72"/>
    <w:rsid w:val="00172EB3"/>
    <w:rsid w:val="00186348"/>
    <w:rsid w:val="001977C7"/>
    <w:rsid w:val="001B0621"/>
    <w:rsid w:val="001D5CA1"/>
    <w:rsid w:val="001D6C0A"/>
    <w:rsid w:val="001E2852"/>
    <w:rsid w:val="001F71A9"/>
    <w:rsid w:val="00277FE1"/>
    <w:rsid w:val="002804A4"/>
    <w:rsid w:val="00330CB3"/>
    <w:rsid w:val="00335FA4"/>
    <w:rsid w:val="0034163E"/>
    <w:rsid w:val="003B78BF"/>
    <w:rsid w:val="00425497"/>
    <w:rsid w:val="00441CEE"/>
    <w:rsid w:val="00474566"/>
    <w:rsid w:val="004865AC"/>
    <w:rsid w:val="0049164D"/>
    <w:rsid w:val="004D4DAF"/>
    <w:rsid w:val="004F0B92"/>
    <w:rsid w:val="005B6E36"/>
    <w:rsid w:val="00671A0E"/>
    <w:rsid w:val="0068566B"/>
    <w:rsid w:val="006A0883"/>
    <w:rsid w:val="00744E51"/>
    <w:rsid w:val="0077073C"/>
    <w:rsid w:val="007B3C98"/>
    <w:rsid w:val="007F07FB"/>
    <w:rsid w:val="00833CB7"/>
    <w:rsid w:val="00840F45"/>
    <w:rsid w:val="00905267"/>
    <w:rsid w:val="0091120D"/>
    <w:rsid w:val="00957B33"/>
    <w:rsid w:val="009B4D55"/>
    <w:rsid w:val="009C6562"/>
    <w:rsid w:val="009D6E1A"/>
    <w:rsid w:val="009D7F82"/>
    <w:rsid w:val="00A50A5F"/>
    <w:rsid w:val="00A55BAB"/>
    <w:rsid w:val="00A65185"/>
    <w:rsid w:val="00A829E2"/>
    <w:rsid w:val="00AC3A2D"/>
    <w:rsid w:val="00AE0EA9"/>
    <w:rsid w:val="00AE24EC"/>
    <w:rsid w:val="00AE634E"/>
    <w:rsid w:val="00AF1AE4"/>
    <w:rsid w:val="00B320E5"/>
    <w:rsid w:val="00B73E3D"/>
    <w:rsid w:val="00C74A0B"/>
    <w:rsid w:val="00C77335"/>
    <w:rsid w:val="00C83B93"/>
    <w:rsid w:val="00CA70F4"/>
    <w:rsid w:val="00CB7081"/>
    <w:rsid w:val="00CC3C4D"/>
    <w:rsid w:val="00D141DF"/>
    <w:rsid w:val="00D24F98"/>
    <w:rsid w:val="00D56B40"/>
    <w:rsid w:val="00D61D4D"/>
    <w:rsid w:val="00D8131F"/>
    <w:rsid w:val="00E645A6"/>
    <w:rsid w:val="00F84E98"/>
    <w:rsid w:val="00FD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65BF"/>
  <w15:chartTrackingRefBased/>
  <w15:docId w15:val="{D664072F-C145-4560-B1A5-9DC6BDB3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C3A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E6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634E"/>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D56B40"/>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D56B40"/>
  </w:style>
  <w:style w:type="paragraph" w:styleId="Rodap">
    <w:name w:val="footer"/>
    <w:basedOn w:val="Normal"/>
    <w:link w:val="RodapChar"/>
    <w:uiPriority w:val="99"/>
    <w:unhideWhenUsed/>
    <w:rsid w:val="00D56B40"/>
    <w:pPr>
      <w:tabs>
        <w:tab w:val="center" w:pos="4680"/>
        <w:tab w:val="right" w:pos="9360"/>
      </w:tabs>
      <w:spacing w:after="0" w:line="240" w:lineRule="auto"/>
    </w:pPr>
  </w:style>
  <w:style w:type="character" w:customStyle="1" w:styleId="RodapChar">
    <w:name w:val="Rodapé Char"/>
    <w:basedOn w:val="Fontepargpadro"/>
    <w:link w:val="Rodap"/>
    <w:uiPriority w:val="99"/>
    <w:rsid w:val="00D56B40"/>
  </w:style>
  <w:style w:type="character" w:styleId="Refdecomentrio">
    <w:name w:val="annotation reference"/>
    <w:basedOn w:val="Fontepargpadro"/>
    <w:uiPriority w:val="99"/>
    <w:semiHidden/>
    <w:unhideWhenUsed/>
    <w:rsid w:val="00A50A5F"/>
    <w:rPr>
      <w:sz w:val="16"/>
      <w:szCs w:val="16"/>
    </w:rPr>
  </w:style>
  <w:style w:type="paragraph" w:styleId="Textodecomentrio">
    <w:name w:val="annotation text"/>
    <w:basedOn w:val="Normal"/>
    <w:link w:val="TextodecomentrioChar"/>
    <w:uiPriority w:val="99"/>
    <w:semiHidden/>
    <w:unhideWhenUsed/>
    <w:rsid w:val="00A50A5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50A5F"/>
    <w:rPr>
      <w:sz w:val="20"/>
      <w:szCs w:val="20"/>
    </w:rPr>
  </w:style>
  <w:style w:type="paragraph" w:styleId="Assuntodocomentrio">
    <w:name w:val="annotation subject"/>
    <w:basedOn w:val="Textodecomentrio"/>
    <w:next w:val="Textodecomentrio"/>
    <w:link w:val="AssuntodocomentrioChar"/>
    <w:uiPriority w:val="99"/>
    <w:semiHidden/>
    <w:unhideWhenUsed/>
    <w:rsid w:val="00A50A5F"/>
    <w:rPr>
      <w:b/>
      <w:bCs/>
    </w:rPr>
  </w:style>
  <w:style w:type="character" w:customStyle="1" w:styleId="AssuntodocomentrioChar">
    <w:name w:val="Assunto do comentário Char"/>
    <w:basedOn w:val="TextodecomentrioChar"/>
    <w:link w:val="Assuntodocomentrio"/>
    <w:uiPriority w:val="99"/>
    <w:semiHidden/>
    <w:rsid w:val="00A50A5F"/>
    <w:rPr>
      <w:b/>
      <w:bCs/>
      <w:sz w:val="20"/>
      <w:szCs w:val="20"/>
    </w:rPr>
  </w:style>
  <w:style w:type="paragraph" w:styleId="Textodebalo">
    <w:name w:val="Balloon Text"/>
    <w:basedOn w:val="Normal"/>
    <w:link w:val="TextodebaloChar"/>
    <w:uiPriority w:val="99"/>
    <w:semiHidden/>
    <w:unhideWhenUsed/>
    <w:rsid w:val="00A50A5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50A5F"/>
    <w:rPr>
      <w:rFonts w:ascii="Segoe UI" w:hAnsi="Segoe UI" w:cs="Segoe UI"/>
      <w:sz w:val="18"/>
      <w:szCs w:val="18"/>
    </w:rPr>
  </w:style>
  <w:style w:type="paragraph" w:styleId="PargrafodaLista">
    <w:name w:val="List Paragraph"/>
    <w:basedOn w:val="Normal"/>
    <w:uiPriority w:val="34"/>
    <w:qFormat/>
    <w:rsid w:val="00330CB3"/>
    <w:pPr>
      <w:ind w:left="720"/>
      <w:contextualSpacing/>
    </w:pPr>
  </w:style>
  <w:style w:type="character" w:customStyle="1" w:styleId="Ttulo1Char">
    <w:name w:val="Título 1 Char"/>
    <w:basedOn w:val="Fontepargpadro"/>
    <w:link w:val="Ttulo1"/>
    <w:uiPriority w:val="9"/>
    <w:rsid w:val="00AC3A2D"/>
    <w:rPr>
      <w:rFonts w:asciiTheme="majorHAnsi" w:eastAsiaTheme="majorEastAsia" w:hAnsiTheme="majorHAnsi" w:cstheme="majorBidi"/>
      <w:color w:val="2F5496" w:themeColor="accent1" w:themeShade="BF"/>
      <w:sz w:val="32"/>
      <w:szCs w:val="32"/>
    </w:rPr>
  </w:style>
  <w:style w:type="paragraph" w:styleId="SemEspaamento">
    <w:name w:val="No Spacing"/>
    <w:uiPriority w:val="1"/>
    <w:qFormat/>
    <w:rsid w:val="00AC3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2136">
      <w:bodyDiv w:val="1"/>
      <w:marLeft w:val="0"/>
      <w:marRight w:val="0"/>
      <w:marTop w:val="0"/>
      <w:marBottom w:val="0"/>
      <w:divBdr>
        <w:top w:val="none" w:sz="0" w:space="0" w:color="auto"/>
        <w:left w:val="none" w:sz="0" w:space="0" w:color="auto"/>
        <w:bottom w:val="none" w:sz="0" w:space="0" w:color="auto"/>
        <w:right w:val="none" w:sz="0" w:space="0" w:color="auto"/>
      </w:divBdr>
    </w:div>
    <w:div w:id="319116507">
      <w:bodyDiv w:val="1"/>
      <w:marLeft w:val="0"/>
      <w:marRight w:val="0"/>
      <w:marTop w:val="0"/>
      <w:marBottom w:val="0"/>
      <w:divBdr>
        <w:top w:val="none" w:sz="0" w:space="0" w:color="auto"/>
        <w:left w:val="none" w:sz="0" w:space="0" w:color="auto"/>
        <w:bottom w:val="none" w:sz="0" w:space="0" w:color="auto"/>
        <w:right w:val="none" w:sz="0" w:space="0" w:color="auto"/>
      </w:divBdr>
    </w:div>
    <w:div w:id="522480672">
      <w:bodyDiv w:val="1"/>
      <w:marLeft w:val="0"/>
      <w:marRight w:val="0"/>
      <w:marTop w:val="0"/>
      <w:marBottom w:val="0"/>
      <w:divBdr>
        <w:top w:val="none" w:sz="0" w:space="0" w:color="auto"/>
        <w:left w:val="none" w:sz="0" w:space="0" w:color="auto"/>
        <w:bottom w:val="none" w:sz="0" w:space="0" w:color="auto"/>
        <w:right w:val="none" w:sz="0" w:space="0" w:color="auto"/>
      </w:divBdr>
    </w:div>
    <w:div w:id="554702899">
      <w:bodyDiv w:val="1"/>
      <w:marLeft w:val="0"/>
      <w:marRight w:val="0"/>
      <w:marTop w:val="0"/>
      <w:marBottom w:val="0"/>
      <w:divBdr>
        <w:top w:val="none" w:sz="0" w:space="0" w:color="auto"/>
        <w:left w:val="none" w:sz="0" w:space="0" w:color="auto"/>
        <w:bottom w:val="none" w:sz="0" w:space="0" w:color="auto"/>
        <w:right w:val="none" w:sz="0" w:space="0" w:color="auto"/>
      </w:divBdr>
    </w:div>
    <w:div w:id="873928322">
      <w:bodyDiv w:val="1"/>
      <w:marLeft w:val="0"/>
      <w:marRight w:val="0"/>
      <w:marTop w:val="0"/>
      <w:marBottom w:val="0"/>
      <w:divBdr>
        <w:top w:val="none" w:sz="0" w:space="0" w:color="auto"/>
        <w:left w:val="none" w:sz="0" w:space="0" w:color="auto"/>
        <w:bottom w:val="none" w:sz="0" w:space="0" w:color="auto"/>
        <w:right w:val="none" w:sz="0" w:space="0" w:color="auto"/>
      </w:divBdr>
    </w:div>
    <w:div w:id="1046829725">
      <w:bodyDiv w:val="1"/>
      <w:marLeft w:val="0"/>
      <w:marRight w:val="0"/>
      <w:marTop w:val="0"/>
      <w:marBottom w:val="0"/>
      <w:divBdr>
        <w:top w:val="none" w:sz="0" w:space="0" w:color="auto"/>
        <w:left w:val="none" w:sz="0" w:space="0" w:color="auto"/>
        <w:bottom w:val="none" w:sz="0" w:space="0" w:color="auto"/>
        <w:right w:val="none" w:sz="0" w:space="0" w:color="auto"/>
      </w:divBdr>
    </w:div>
    <w:div w:id="1108043440">
      <w:bodyDiv w:val="1"/>
      <w:marLeft w:val="0"/>
      <w:marRight w:val="0"/>
      <w:marTop w:val="0"/>
      <w:marBottom w:val="0"/>
      <w:divBdr>
        <w:top w:val="none" w:sz="0" w:space="0" w:color="auto"/>
        <w:left w:val="none" w:sz="0" w:space="0" w:color="auto"/>
        <w:bottom w:val="none" w:sz="0" w:space="0" w:color="auto"/>
        <w:right w:val="none" w:sz="0" w:space="0" w:color="auto"/>
      </w:divBdr>
      <w:divsChild>
        <w:div w:id="1653364616">
          <w:marLeft w:val="274"/>
          <w:marRight w:val="0"/>
          <w:marTop w:val="0"/>
          <w:marBottom w:val="0"/>
          <w:divBdr>
            <w:top w:val="none" w:sz="0" w:space="0" w:color="auto"/>
            <w:left w:val="none" w:sz="0" w:space="0" w:color="auto"/>
            <w:bottom w:val="none" w:sz="0" w:space="0" w:color="auto"/>
            <w:right w:val="none" w:sz="0" w:space="0" w:color="auto"/>
          </w:divBdr>
        </w:div>
        <w:div w:id="1471705254">
          <w:marLeft w:val="274"/>
          <w:marRight w:val="0"/>
          <w:marTop w:val="0"/>
          <w:marBottom w:val="0"/>
          <w:divBdr>
            <w:top w:val="none" w:sz="0" w:space="0" w:color="auto"/>
            <w:left w:val="none" w:sz="0" w:space="0" w:color="auto"/>
            <w:bottom w:val="none" w:sz="0" w:space="0" w:color="auto"/>
            <w:right w:val="none" w:sz="0" w:space="0" w:color="auto"/>
          </w:divBdr>
        </w:div>
      </w:divsChild>
    </w:div>
    <w:div w:id="1284340364">
      <w:bodyDiv w:val="1"/>
      <w:marLeft w:val="0"/>
      <w:marRight w:val="0"/>
      <w:marTop w:val="0"/>
      <w:marBottom w:val="0"/>
      <w:divBdr>
        <w:top w:val="none" w:sz="0" w:space="0" w:color="auto"/>
        <w:left w:val="none" w:sz="0" w:space="0" w:color="auto"/>
        <w:bottom w:val="none" w:sz="0" w:space="0" w:color="auto"/>
        <w:right w:val="none" w:sz="0" w:space="0" w:color="auto"/>
      </w:divBdr>
      <w:divsChild>
        <w:div w:id="475299454">
          <w:marLeft w:val="274"/>
          <w:marRight w:val="0"/>
          <w:marTop w:val="0"/>
          <w:marBottom w:val="0"/>
          <w:divBdr>
            <w:top w:val="none" w:sz="0" w:space="0" w:color="auto"/>
            <w:left w:val="none" w:sz="0" w:space="0" w:color="auto"/>
            <w:bottom w:val="none" w:sz="0" w:space="0" w:color="auto"/>
            <w:right w:val="none" w:sz="0" w:space="0" w:color="auto"/>
          </w:divBdr>
        </w:div>
        <w:div w:id="706222898">
          <w:marLeft w:val="274"/>
          <w:marRight w:val="0"/>
          <w:marTop w:val="0"/>
          <w:marBottom w:val="0"/>
          <w:divBdr>
            <w:top w:val="none" w:sz="0" w:space="0" w:color="auto"/>
            <w:left w:val="none" w:sz="0" w:space="0" w:color="auto"/>
            <w:bottom w:val="none" w:sz="0" w:space="0" w:color="auto"/>
            <w:right w:val="none" w:sz="0" w:space="0" w:color="auto"/>
          </w:divBdr>
        </w:div>
        <w:div w:id="420025140">
          <w:marLeft w:val="274"/>
          <w:marRight w:val="0"/>
          <w:marTop w:val="0"/>
          <w:marBottom w:val="0"/>
          <w:divBdr>
            <w:top w:val="none" w:sz="0" w:space="0" w:color="auto"/>
            <w:left w:val="none" w:sz="0" w:space="0" w:color="auto"/>
            <w:bottom w:val="none" w:sz="0" w:space="0" w:color="auto"/>
            <w:right w:val="none" w:sz="0" w:space="0" w:color="auto"/>
          </w:divBdr>
        </w:div>
      </w:divsChild>
    </w:div>
    <w:div w:id="1761176444">
      <w:bodyDiv w:val="1"/>
      <w:marLeft w:val="0"/>
      <w:marRight w:val="0"/>
      <w:marTop w:val="0"/>
      <w:marBottom w:val="0"/>
      <w:divBdr>
        <w:top w:val="none" w:sz="0" w:space="0" w:color="auto"/>
        <w:left w:val="none" w:sz="0" w:space="0" w:color="auto"/>
        <w:bottom w:val="none" w:sz="0" w:space="0" w:color="auto"/>
        <w:right w:val="none" w:sz="0" w:space="0" w:color="auto"/>
      </w:divBdr>
      <w:divsChild>
        <w:div w:id="1311907695">
          <w:marLeft w:val="274"/>
          <w:marRight w:val="0"/>
          <w:marTop w:val="0"/>
          <w:marBottom w:val="0"/>
          <w:divBdr>
            <w:top w:val="none" w:sz="0" w:space="0" w:color="auto"/>
            <w:left w:val="none" w:sz="0" w:space="0" w:color="auto"/>
            <w:bottom w:val="none" w:sz="0" w:space="0" w:color="auto"/>
            <w:right w:val="none" w:sz="0" w:space="0" w:color="auto"/>
          </w:divBdr>
        </w:div>
        <w:div w:id="73207798">
          <w:marLeft w:val="274"/>
          <w:marRight w:val="0"/>
          <w:marTop w:val="0"/>
          <w:marBottom w:val="0"/>
          <w:divBdr>
            <w:top w:val="none" w:sz="0" w:space="0" w:color="auto"/>
            <w:left w:val="none" w:sz="0" w:space="0" w:color="auto"/>
            <w:bottom w:val="none" w:sz="0" w:space="0" w:color="auto"/>
            <w:right w:val="none" w:sz="0" w:space="0" w:color="auto"/>
          </w:divBdr>
        </w:div>
      </w:divsChild>
    </w:div>
    <w:div w:id="1801874570">
      <w:bodyDiv w:val="1"/>
      <w:marLeft w:val="0"/>
      <w:marRight w:val="0"/>
      <w:marTop w:val="0"/>
      <w:marBottom w:val="0"/>
      <w:divBdr>
        <w:top w:val="none" w:sz="0" w:space="0" w:color="auto"/>
        <w:left w:val="none" w:sz="0" w:space="0" w:color="auto"/>
        <w:bottom w:val="none" w:sz="0" w:space="0" w:color="auto"/>
        <w:right w:val="none" w:sz="0" w:space="0" w:color="auto"/>
      </w:divBdr>
      <w:divsChild>
        <w:div w:id="737558175">
          <w:marLeft w:val="274"/>
          <w:marRight w:val="0"/>
          <w:marTop w:val="0"/>
          <w:marBottom w:val="0"/>
          <w:divBdr>
            <w:top w:val="none" w:sz="0" w:space="0" w:color="auto"/>
            <w:left w:val="none" w:sz="0" w:space="0" w:color="auto"/>
            <w:bottom w:val="none" w:sz="0" w:space="0" w:color="auto"/>
            <w:right w:val="none" w:sz="0" w:space="0" w:color="auto"/>
          </w:divBdr>
        </w:div>
        <w:div w:id="1796874137">
          <w:marLeft w:val="274"/>
          <w:marRight w:val="0"/>
          <w:marTop w:val="0"/>
          <w:marBottom w:val="0"/>
          <w:divBdr>
            <w:top w:val="none" w:sz="0" w:space="0" w:color="auto"/>
            <w:left w:val="none" w:sz="0" w:space="0" w:color="auto"/>
            <w:bottom w:val="none" w:sz="0" w:space="0" w:color="auto"/>
            <w:right w:val="none" w:sz="0" w:space="0" w:color="auto"/>
          </w:divBdr>
        </w:div>
        <w:div w:id="1575821153">
          <w:marLeft w:val="274"/>
          <w:marRight w:val="0"/>
          <w:marTop w:val="0"/>
          <w:marBottom w:val="0"/>
          <w:divBdr>
            <w:top w:val="none" w:sz="0" w:space="0" w:color="auto"/>
            <w:left w:val="none" w:sz="0" w:space="0" w:color="auto"/>
            <w:bottom w:val="none" w:sz="0" w:space="0" w:color="auto"/>
            <w:right w:val="none" w:sz="0" w:space="0" w:color="auto"/>
          </w:divBdr>
        </w:div>
      </w:divsChild>
    </w:div>
    <w:div w:id="1839496695">
      <w:bodyDiv w:val="1"/>
      <w:marLeft w:val="0"/>
      <w:marRight w:val="0"/>
      <w:marTop w:val="0"/>
      <w:marBottom w:val="0"/>
      <w:divBdr>
        <w:top w:val="none" w:sz="0" w:space="0" w:color="auto"/>
        <w:left w:val="none" w:sz="0" w:space="0" w:color="auto"/>
        <w:bottom w:val="none" w:sz="0" w:space="0" w:color="auto"/>
        <w:right w:val="none" w:sz="0" w:space="0" w:color="auto"/>
      </w:divBdr>
      <w:divsChild>
        <w:div w:id="1210456889">
          <w:marLeft w:val="274"/>
          <w:marRight w:val="0"/>
          <w:marTop w:val="0"/>
          <w:marBottom w:val="0"/>
          <w:divBdr>
            <w:top w:val="none" w:sz="0" w:space="0" w:color="auto"/>
            <w:left w:val="none" w:sz="0" w:space="0" w:color="auto"/>
            <w:bottom w:val="none" w:sz="0" w:space="0" w:color="auto"/>
            <w:right w:val="none" w:sz="0" w:space="0" w:color="auto"/>
          </w:divBdr>
        </w:div>
        <w:div w:id="1869761200">
          <w:marLeft w:val="274"/>
          <w:marRight w:val="0"/>
          <w:marTop w:val="0"/>
          <w:marBottom w:val="0"/>
          <w:divBdr>
            <w:top w:val="none" w:sz="0" w:space="0" w:color="auto"/>
            <w:left w:val="none" w:sz="0" w:space="0" w:color="auto"/>
            <w:bottom w:val="none" w:sz="0" w:space="0" w:color="auto"/>
            <w:right w:val="none" w:sz="0" w:space="0" w:color="auto"/>
          </w:divBdr>
        </w:div>
      </w:divsChild>
    </w:div>
    <w:div w:id="20172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E1B2A-F3AF-42ED-B81D-456AF67C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5440</Words>
  <Characters>29379</Characters>
  <Application>Microsoft Office Word</Application>
  <DocSecurity>0</DocSecurity>
  <Lines>244</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Zago, Carolina</dc:creator>
  <cp:keywords/>
  <dc:description/>
  <cp:lastModifiedBy>Lucia Rodrigues</cp:lastModifiedBy>
  <cp:revision>2</cp:revision>
  <dcterms:created xsi:type="dcterms:W3CDTF">2021-09-13T15:13:00Z</dcterms:created>
  <dcterms:modified xsi:type="dcterms:W3CDTF">2021-09-13T15:13:00Z</dcterms:modified>
</cp:coreProperties>
</file>